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87R4818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who has an unexpired driver's license or personal identification card issued in this state to complete a voter registration application over the Internet from the official website of this state. </w:t>
      </w:r>
      <w:r>
        <w:rPr>
          <w:u w:val="single"/>
        </w:rPr>
        <w:t xml:space="preserve"> </w:t>
      </w:r>
      <w:r>
        <w:rPr>
          <w:u w:val="single"/>
        </w:rPr>
        <w:t xml:space="preserve">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information required under Section 13.002(c);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audit number and date of issuance of the applicant's Texas driver's license or personal identification card issued by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application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a digital copy of the applicant's signature be obtained from the Department of Public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compare the information provided by the applicant against Department of Public Safety records.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information submitted by an applicant does not match Department of Public Safety records,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applicant that the application cannot be processed electronically;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applicant to print an application and submit it to the voter registrar of the county in which the applicant resides by mail or personal delivery.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information submitted by an applicant matches Department of Public Safety records, the program shall forward the application to the registrar of the county in which the applicant states that the applicant resides.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under Subsection (e), the registrar shall review the application in accordance with Section 13.071.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application electronically submitted under this section is considered for all purposes as an application submitted by mail under this title.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under Subsection (h)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