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87R2795 YDB-D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Perry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247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discrimination against or burdening certain constitutional rights of an applicant for or holder of a license to practice law in this state.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81, Government Code, is amended by adding Section 81.02401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81.02401.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CERTAIN RULES AND POLICIES PROHIBITED; ADMINISTRATIVE OR INJUNCTIVE RELIEF.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A rule or policy adopted or a penalty imposed under this chapter may not: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limit an applicant's ability to obtain a license to practice law in this state, or a state bar member's ability to maintain or renew the license, based on a sincerely held religious belief of the applicant or state bar member;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burden an applicant's or state bar member's: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free exercise of religion, regardless of whether the burden is the result of a rule or policy generally applicable to all applicants or state bar members;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freedom of speech regarding a sincerely held religious belief;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membership in any religious organization;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freedom of association.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Subsection (a) does not apply to a state bar rule or policy adopted or penalty imposed under this chapter that results in a limitation or burden described by Subsection (a) if the rule, policy, or penalty is: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essential to enforcing a compelling governmental purpose;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narrowly tailored to accomplish that purpose.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may assert that a state bar rule or policy adopted or penalty imposed under this chapter violates Subsection (a) as a defense in an administrative hearing or as a claim or defense in a judicial proceeding under Chapter 37, Civil Practice and Remedies Code, except that the person may not assert the violation as a defense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allegation of sexual misconduct;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prosecution of an offense.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may bring an action for injunctive relief for a violation of Subsection (a).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247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