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87R1198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school districts to employ certain educators who retired or resigned because of the coronavirus disease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21, Education Code, is amended by adding Section 21.010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EDUCATOR RESIGNATION OR RETIREMENT AFTER 2019-2020 SCHOOL YEAR OR DURING 2020-2021 SCHOOL YEAR. (a) In this section, "employment action" means an action that affects an employee's compensation, promotion, demotion, transfer, work assignment, or performance evaluation.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with the 2021-2022 school year, an educator employed by a school district for the 2019-2020 or 2020-2021 school year who resigned or retired from the educator's position after the 2019-2020 school year or during the 2020-2021 school year solely because of the coronavirus disease (COVID-19) pandemic is entitled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reinstatement to the educator's former position or an equivalent position;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reinstatement of any fringe benefits and seniority rights that the educator was entitled to before the educator's resignation or retirement.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educator returns to employment as provided by Subsection (b), a school district may not take any adverse employment action against the educator based on the educator's decision to resign or retire after the 2019-2020 school year or during the 2020-2021 school year.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