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29,</w:t>
      </w:r>
      <w:r xml:space="preserve">
        <w:t> </w:t>
      </w:r>
      <w:r>
        <w:t xml:space="preserve">2020; March</w:t>
      </w:r>
      <w:r xml:space="preserve">
        <w:t> </w:t>
      </w:r>
      <w:r>
        <w:t xml:space="preserve">3,</w:t>
      </w:r>
      <w:r xml:space="preserve">
        <w:t> </w:t>
      </w:r>
      <w:r>
        <w:t xml:space="preserve">2021, read first time and referred to Committee on State Affairs; March</w:t>
      </w:r>
      <w:r xml:space="preserve">
        <w:t> </w:t>
      </w:r>
      <w:r>
        <w:t xml:space="preserve">17,</w:t>
      </w:r>
      <w:r xml:space="preserve">
        <w:t> </w:t>
      </w:r>
      <w:r>
        <w:t xml:space="preserve">2021, reported favorably by the following vote:</w:t>
      </w:r>
      <w:r>
        <w:t xml:space="preserve"> </w:t>
      </w:r>
      <w:r>
        <w:t xml:space="preserve"> </w:t>
      </w:r>
      <w:r>
        <w:t xml:space="preserve">Yeas 9, Nays 0;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to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may file an action for injunctive relief against a resident's responsible payor who engages in conduct described by Subsection (b). </w:t>
      </w:r>
      <w:r>
        <w:rPr>
          <w:u w:val="single"/>
        </w:rPr>
        <w:t xml:space="preserve"> </w:t>
      </w:r>
      <w:r>
        <w:rPr>
          <w:u w:val="single"/>
        </w:rPr>
        <w:t xml:space="preserve">The court may grant any appropriate injunctive relief to prevent or abate the conduct, including a temporary restraining order, temporary injunction, or permanent injunction.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prevailing party in an action filed under this section may recover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