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87R27889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275</w:t>
      </w:r>
    </w:p>
    <w:p w:rsidR="003F3435" w:rsidRDefault="0032493E">
      <w:pPr>
        <w:ind w:firstLine="720"/>
        <w:jc w:val="both"/>
      </w:pPr>
      <w:r>
        <w:t xml:space="preserve">(Herrero)</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275:</w:t>
      </w: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C.S.S.B.</w:t>
      </w:r>
      <w:r xml:space="preserve">
        <w:t> </w:t>
      </w:r>
      <w:r>
        <w:t xml:space="preserve">No.</w:t>
      </w:r>
      <w:r xml:space="preserve">
        <w:t> </w:t>
      </w:r>
      <w:r>
        <w:t xml:space="preserve">275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an entity name that falsely implies governmental affiliation.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150C to read as follows:</w:t>
      </w:r>
    </w:p>
    <w:p w:rsidR="003F3435" w:rsidRDefault="0032493E">
      <w:pPr>
        <w:spacing w:line="480" w:lineRule="auto"/>
        <w:jc w:val="center"/>
      </w:pPr>
      <w:r>
        <w:rPr>
          <w:u w:val="single"/>
        </w:rPr>
        <w:t xml:space="preserve">CHAPTER 150C.  ENTITY NAME FALSELY IMPLYING GOVERNMENTAL AFFILIATION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150C.001.</w:t>
      </w:r>
      <w:r>
        <w:rPr>
          <w:u w:val="single"/>
        </w:rPr>
        <w:t xml:space="preserve"> </w:t>
      </w:r>
      <w:r>
        <w:rPr>
          <w:u w:val="single"/>
        </w:rPr>
        <w:t xml:space="preserve"> </w:t>
      </w:r>
      <w:r>
        <w:rPr>
          <w:u w:val="single"/>
        </w:rPr>
        <w:t xml:space="preserve">DEFINITION.  In this chapter, "governmental unit" has the meaning assigned by Section 101.001.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150C.002.</w:t>
      </w:r>
      <w:r>
        <w:rPr>
          <w:u w:val="single"/>
        </w:rPr>
        <w:t xml:space="preserve"> </w:t>
      </w:r>
      <w:r>
        <w:rPr>
          <w:u w:val="single"/>
        </w:rPr>
        <w:t xml:space="preserve"> </w:t>
      </w:r>
      <w:r>
        <w:rPr>
          <w:u w:val="single"/>
        </w:rPr>
        <w:t xml:space="preserve">FALSELY IMPLYING GOVERNMENTAL AFFILIATION.  (a)  A governmental unit is entitled to enjoin another person's use of an entity name that falsely implies governmental affiliation with the governmental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this section, the governmental unit is entitled to injunctive relief throughout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the person against whom the injunctive relief is sought wilfully intended to imply governmental affiliation with the governmental unit, the court, in the court's discretion, may award reasonable attorney's fees and court costs to the governmental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 Business Organizations Code, is amended by adding Section 5.064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5.064.</w:t>
      </w:r>
      <w:r>
        <w:rPr>
          <w:u w:val="single"/>
        </w:rPr>
        <w:t xml:space="preserve"> </w:t>
      </w:r>
      <w:r>
        <w:rPr>
          <w:u w:val="single"/>
        </w:rPr>
        <w:t xml:space="preserve"> </w:t>
      </w:r>
      <w:r>
        <w:rPr>
          <w:u w:val="single"/>
        </w:rPr>
        <w:t xml:space="preserve">NAME FALSELY IMPLYING GOVERNMENTAL AFFILIATION PROHIBITED.  (a)  A filing entity or a foreign filing entity may not use a name in this state that falsely implies an affiliation with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submission of a filing instrument is an affirmation by the organizer or by a managerial official named in the filing instrument that the name provided as the name of the filing entity does not falsely imply an affiliation with a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addition of a word, phrase, or abbreviation that is required to be included in the name of a domestic or foreign filing entity under the provisions of this chapter is not a factor when determining whether a name violates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an entity name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a domestic filing entity, as evidenced by its certificate of formation, as amended or restated;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a foreign filing entity, the name of the foreign filing entity or the fictitious name of a foreign filing entity, as evidenced by its application for registration or its most recent amended registration.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adopt rules and prescribe procedures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