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279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suicide prevention information on certain student identification cards issued by a public school or public institution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38, Education Code, is amended by adding Section 38.353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38.353.</w:t>
      </w:r>
      <w:r>
        <w:rPr>
          <w:u w:val="single"/>
        </w:rPr>
        <w:t xml:space="preserve"> </w:t>
      </w:r>
      <w:r>
        <w:rPr>
          <w:u w:val="single"/>
        </w:rPr>
        <w:t xml:space="preserve"> </w:t>
      </w:r>
      <w:r>
        <w:rPr>
          <w:u w:val="single"/>
        </w:rPr>
        <w:t xml:space="preserve">SUICIDE PREVENTION INFORMATION REQUIRED ON CERTAIN STUDENT IDENTIFICATION CARDS.  Each student identification card issued by a public school to a student in grade seven or higher: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have printed on either side of the card the telephone number for the National Suicide Prevention Lifeline;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have printed on either side of the card the telephone number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Crisis Text Line;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local suicide prevention hotline,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51.91941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51.91941.</w:t>
      </w:r>
      <w:r>
        <w:rPr>
          <w:u w:val="single"/>
        </w:rPr>
        <w:t xml:space="preserve"> </w:t>
      </w:r>
      <w:r>
        <w:rPr>
          <w:u w:val="single"/>
        </w:rPr>
        <w:t xml:space="preserve"> </w:t>
      </w:r>
      <w:r>
        <w:rPr>
          <w:u w:val="single"/>
        </w:rPr>
        <w:t xml:space="preserve">SUICIDE PREVENTION INFORMATION REQUIRED ON STUDENT IDENTIFICATION CARD.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student identification card issued by an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have printed on either side of the card the telephone number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Suicide Prevention Lifeline;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campus police department or security for the campus at which the student to whom the card is issued regularly attends classes or, if the campus does not have a campus police department or security, a local nonemergency police contact;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have printed on either side of the card the telephone number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Crisis Text Line;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local suicide prevention hotline, if available.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Notwithstanding Sections 38.353 and 51.91941, Education Code, as added by this Act, if, on January 1, 2022, a public school or a public institution of higher education subject to the requirements of Section 38.353 or 51.91941, Education Code, as applicable, has a supply of unissued student identification cards that do not comply with the applicable requirements of those sections, the public school or public institution of higher education may issue those student identification cards until the supply of cards is depleted.</w:t>
      </w:r>
    </w:p>
    <w:p w:rsidR="003F3435" w:rsidRDefault="0032493E">
      <w:pPr>
        <w:spacing w:line="480" w:lineRule="auto"/>
        <w:ind w:firstLine="720"/>
        <w:jc w:val="both"/>
      </w:pPr>
      <w:r>
        <w:t xml:space="preserve">(b)</w:t>
      </w:r>
      <w:r xml:space="preserve">
        <w:t> </w:t>
      </w:r>
      <w:r xml:space="preserve">
        <w:t> </w:t>
      </w:r>
      <w:r>
        <w:t xml:space="preserve">Sections 38.353 and 51.91941, Education Code, as added by this Act, apply only to an initial or replacement student identification card issued on or after June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