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the appropriation of money to settle or pay a sexual harassment claim made against certain members of the executive, legislative, or judicial branch of state government and to a prohibition against the use of other public money to settle such a claim.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5, Government Code, is amended by adding Chapter 576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576. </w:t>
      </w:r>
      <w:r>
        <w:rPr>
          <w:u w:val="single"/>
        </w:rPr>
        <w:t xml:space="preserve"> </w:t>
      </w:r>
      <w:r>
        <w:rPr>
          <w:u w:val="single"/>
        </w:rPr>
        <w:t xml:space="preserve">PROHIBITION ON APPROPRIATION OF MONEY TO SETTLE OR PAY SEXUAL HARASSMENT CLAIMS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APPROPRIATION OF MONEY TO SETTLE OR PAY SEXUAL HARASSMENT CLAIMS.  The legislature may not appropriate money and a state agency may not use appropriated money to settle or otherwise pay a sexual harassment claim made against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an elected member of the executive, legislative, or judicial branch of state government;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appointed by the governor to serve as a member of a department, commission, board, or other public office within the executive, legislative, or judicial branch of state government;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serves as staff for a person described by Subdivision (1) or (2).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2.</w:t>
      </w:r>
      <w:r xml:space="preserve">
        <w:t> </w:t>
      </w:r>
      <w:r xml:space="preserve">
        <w:t> </w:t>
      </w:r>
      <w:r>
        <w:t xml:space="preserve">Chapter 180, Local Government Code, is amended by adding Section 180.008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180.008.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USE OF PUBLIC MONEY TO SETTLE OR PAY SEXUAL HARASSMENT CLAIMS.  (a)  In this section, "political subdivision" means a county, municipality, school district, other special district, or other subdivision of state government.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may not use public money to settle or otherwise pay a sexual harassment claim made against a person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elected or appointed member of the governing body of the political subdivision;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 or employee of the political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3.</w:t>
      </w:r>
      <w:r xml:space="preserve">
        <w:t> </w:t>
      </w:r>
      <w:r xml:space="preserve">
        <w:t> </w:t>
      </w:r>
      <w:r>
        <w:t xml:space="preserve">Section 12.1058(a),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open-enrollment charter school is considered to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local government for purposes of Chapter 791,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local government for purposes of Chapter 2259, Government Code, except that an open-enrollment charter school may not issue public securities as provided by Section 2259.031(b),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political subdivision for purposes of Chapter 172, Local Government Code;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local governmental entity for purposes of Subchapter I, Chapter 271, Local Government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for purposes of Section 180.008, Local Government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282 passed the Senate on April</w:t>
      </w:r>
      <w:r xml:space="preserve">
        <w:t> </w:t>
      </w:r>
      <w:r>
        <w:t xml:space="preserve">29,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amendments on May</w:t>
      </w:r>
      <w:r xml:space="preserve">
        <w:t> </w:t>
      </w:r>
      <w:r>
        <w:t xml:space="preserve">27,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282 passed the House, with amendments,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145,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