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Seliger</w:t>
      </w:r>
      <w:r xml:space="preserve">
        <w:tab wTab="150" tlc="none" cTlc="0"/>
      </w:r>
      <w:r>
        <w:t xml:space="preserve">S.B.</w:t>
      </w:r>
      <w:r xml:space="preserve">
        <w:t> </w:t>
      </w:r>
      <w:r>
        <w:t xml:space="preserve">No.</w:t>
      </w:r>
      <w:r xml:space="preserve">
        <w:t> </w:t>
      </w:r>
      <w:r>
        <w:t xml:space="preserve">284</w:t>
      </w:r>
    </w:p>
    <w:p w:rsidR="003F3435" w:rsidRDefault="0032493E">
      <w:pPr>
        <w:ind w:firstLine="720"/>
        <w:jc w:val="both"/>
      </w:pPr>
      <w:r>
        <w:t xml:space="preserve">(Allison)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of out-of-state physicians who practiced in this state during the COVID-19 pandemic.</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"board" means the Texas Medical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(a)  The board shall conduct a study regarding out-of-state physicians who practiced medicine in this state during the COVID-19 pandemic pursuant to board rules providing for the waiver of licensing requirements during disasters and emergencies.</w:t>
      </w:r>
    </w:p>
    <w:p w:rsidR="003F3435" w:rsidRDefault="0032493E">
      <w:pPr>
        <w:spacing w:line="480" w:lineRule="auto"/>
        <w:ind w:firstLine="720"/>
        <w:jc w:val="both"/>
      </w:pPr>
      <w:r>
        <w:t xml:space="preserve">(b)</w:t>
      </w:r>
      <w:r xml:space="preserve">
        <w:t> </w:t>
      </w:r>
      <w:r xml:space="preserve">
        <w:t> </w:t>
      </w:r>
      <w:r>
        <w:t xml:space="preserve">In conducting the study, the board shall solicit and consider information from hospitals and sponsoring physicians in this state, as applicable, regarding the performance of a physician described by Subsection (a)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December 1, 2022, the board shall submit to the governor, the lieutenant governor, the speaker of the house of representatives, and each standing committee of the legislature with primary jurisdiction over the board, a written report that includes a summary of the study and any legislative recommendations based on the study.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September 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