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286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calculation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Family Code, is amended by adding Section 154.0655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154.0655.</w:t>
      </w:r>
      <w:r>
        <w:rPr>
          <w:u w:val="single"/>
        </w:rPr>
        <w:t xml:space="preserve"> </w:t>
      </w:r>
      <w:r>
        <w:rPr>
          <w:u w:val="single"/>
        </w:rPr>
        <w:t xml:space="preserve"> </w:t>
      </w:r>
      <w:r>
        <w:rPr>
          <w:u w:val="single"/>
        </w:rPr>
        <w:t xml:space="preserve">IMPUTATION OF INCOME.  (a)  In this section, "resources" has the meaning assigned by Section 154.062(b).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court shall rely on evidence of a party's resources when applying the support guidelines.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evidence of a party's resources, the court, when applying Section 154.066 or 154.068, shall consider relevant background circumstances regarding the obligor,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obligor's: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earnings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job skills;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educational attainment;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literacy;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health;</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criminal history;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barriers to employment;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record of seeking work;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opportunities in the obligor's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prevailing wage in the obligor's community;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are employers willing to hire the obligor.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154.066,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consider incarceration as intentional unemployment or underemployment when establishing or modifying a support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154.125, Family Code, is amended to read as follows:</w:t>
      </w:r>
    </w:p>
    <w:p w:rsidR="003F3435" w:rsidRDefault="0032493E">
      <w:pPr>
        <w:spacing w:line="480" w:lineRule="auto"/>
        <w:ind w:firstLine="720"/>
        <w:jc w:val="both"/>
      </w:pPr>
      <w:r>
        <w:t xml:space="preserve">Sec.</w:t>
      </w:r>
      <w:r xml:space="preserve">
        <w:t> </w:t>
      </w:r>
      <w:r>
        <w:t xml:space="preserve">154.125.</w:t>
      </w:r>
      <w:r xml:space="preserve">
        <w:t> </w:t>
      </w:r>
      <w:r xml:space="preserve">
        <w:t> </w:t>
      </w:r>
      <w:r>
        <w:t xml:space="preserve">APPLICATION OF GUIDELINES TO NET RESOURCES.  (a)  The guidelines for the support of a child in this section are specifically designed to apply to situations in which the obligor's monthly net resources are not greater than </w:t>
      </w:r>
      <w:r>
        <w:rPr>
          <w:u w:val="single"/>
        </w:rPr>
        <w:t xml:space="preserve">the maximum amount of net resources to which the statutory guidelines are applicable, as most recently published by the Title IV-D agency in the Texas Register</w:t>
      </w:r>
      <w:r>
        <w:t xml:space="preserve"> [</w:t>
      </w:r>
      <w:r>
        <w:rPr>
          <w:strike/>
        </w:rPr>
        <w:t xml:space="preserve">$7,500 or the adjusted amount determined under Subsection (a-1), whichever is greater</w:t>
      </w:r>
      <w:r>
        <w:t xml:space="preserve">].</w:t>
      </w:r>
    </w:p>
    <w:p w:rsidR="003F3435" w:rsidRDefault="0032493E">
      <w:pPr>
        <w:spacing w:line="480" w:lineRule="auto"/>
        <w:ind w:firstLine="720"/>
        <w:jc w:val="both"/>
      </w:pPr>
      <w:r>
        <w:t xml:space="preserve">(a-1)</w:t>
      </w:r>
      <w:r xml:space="preserve">
        <w:t> </w:t>
      </w:r>
      <w:r xml:space="preserve">
        <w:t> </w:t>
      </w:r>
      <w:r>
        <w:t xml:space="preserve">The [</w:t>
      </w:r>
      <w:r>
        <w:rPr>
          <w:strike/>
        </w:rPr>
        <w:t xml:space="preserve">dollar</w:t>
      </w:r>
      <w:r>
        <w:t xml:space="preserve">] amount prescribed by Subsection (a) is adjusted every six years as necessary to reflect inflation.  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  The Title IV-D agency shall publish the adjusted amount in the Texas Register before September 1 of the year in which the adjustment takes effect.  For purposes of this subsection, "consumer price index" has the meaning assigned by Section 341.201,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w:t>
      </w:r>
      <w:r>
        <w:rPr>
          <w:u w:val="single"/>
        </w:rPr>
        <w:t xml:space="preserve">described</w:t>
      </w:r>
      <w:r>
        <w:t xml:space="preserve"> [</w:t>
      </w:r>
      <w:r>
        <w:rPr>
          <w:strike/>
        </w:rPr>
        <w:t xml:space="preserve">provided</w:t>
      </w:r>
      <w:r>
        <w:t xml:space="preserve">] by Subsection (a) </w:t>
      </w:r>
      <w:r>
        <w:rPr>
          <w:u w:val="single"/>
        </w:rPr>
        <w:t xml:space="preserve">and the obligor's monthly net resources are equal to or greater than the amount described by Subsection (c)</w:t>
      </w:r>
      <w:r>
        <w:t xml:space="preserve">,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rPr>
          <w:u w:val="single"/>
        </w:rPr>
        <w:t xml:space="preserve">LOW-INCOME CHILD SUPPORT GUIDELINES</w:t>
      </w:r>
    </w:p>
    <w:p w:rsidR="003F3435" w:rsidRDefault="0032493E">
      <w:pPr>
        <w:spacing w:line="480" w:lineRule="auto"/>
        <w:jc w:val="center"/>
      </w:pPr>
      <w:r>
        <w:rPr>
          <w:u w:val="single"/>
        </w:rPr>
        <w:t xml:space="preserve">BASED ON THE MONTHLY NET RESOURCES OF THE OBLIGOR </w:t>
      </w:r>
      <w:r>
        <w:t xml:space="preserve"> </w:t>
      </w:r>
    </w:p>
    <w:p w:rsidR="003F3435" w:rsidRDefault="0032493E">
      <w:pPr>
        <w:spacing w:line="480" w:lineRule="auto"/>
        <w:ind w:firstLine="720"/>
        <w:jc w:val="both"/>
      </w:pPr>
      <w:r>
        <w:rPr>
          <w:u w:val="single"/>
        </w:rPr>
        <w:t xml:space="preserve">1 child</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15% of Obligor's Net Resources</w:t>
      </w:r>
    </w:p>
    <w:p w:rsidR="003F3435" w:rsidRDefault="0032493E">
      <w:pPr>
        <w:spacing w:line="480" w:lineRule="auto"/>
        <w:ind w:firstLine="720"/>
        <w:jc w:val="both"/>
      </w:pPr>
      <w:r>
        <w:rPr>
          <w:u w:val="single"/>
        </w:rPr>
        <w:t xml:space="preserve">2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 of Obligor's Net Resources</w:t>
      </w:r>
    </w:p>
    <w:p w:rsidR="003F3435" w:rsidRDefault="0032493E">
      <w:pPr>
        <w:spacing w:line="480" w:lineRule="auto"/>
        <w:ind w:firstLine="720"/>
        <w:jc w:val="both"/>
      </w:pPr>
      <w:r>
        <w:rPr>
          <w:u w:val="single"/>
        </w:rPr>
        <w:t xml:space="preserve">3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25% of Obligor's Net Resources</w:t>
      </w:r>
    </w:p>
    <w:p w:rsidR="003F3435" w:rsidRDefault="0032493E">
      <w:pPr>
        <w:spacing w:line="480" w:lineRule="auto"/>
        <w:ind w:firstLine="720"/>
        <w:jc w:val="both"/>
      </w:pPr>
      <w:r>
        <w:rPr>
          <w:u w:val="single"/>
        </w:rPr>
        <w:t xml:space="preserve">4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30% of Obligor's Net Resources</w:t>
      </w:r>
    </w:p>
    <w:p w:rsidR="003F3435" w:rsidRDefault="0032493E">
      <w:pPr>
        <w:spacing w:line="480" w:lineRule="auto"/>
        <w:ind w:firstLine="720"/>
        <w:jc w:val="both"/>
      </w:pPr>
      <w:r>
        <w:rPr>
          <w:u w:val="single"/>
        </w:rPr>
        <w:t xml:space="preserve">5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35% of Obligor's Net Resources</w:t>
      </w:r>
    </w:p>
    <w:p w:rsidR="003F3435" w:rsidRDefault="0032493E">
      <w:pPr>
        <w:spacing w:line="480" w:lineRule="auto"/>
        <w:ind w:firstLine="720"/>
        <w:jc w:val="both"/>
      </w:pPr>
      <w:r>
        <w:rPr>
          <w:u w:val="single"/>
        </w:rPr>
        <w:t xml:space="preserve">6+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Not less than the amount for 5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154.129, Family Code, is amended to read as follows:</w:t>
      </w:r>
    </w:p>
    <w:p w:rsidR="003F3435" w:rsidRDefault="0032493E">
      <w:pPr>
        <w:spacing w:line="480" w:lineRule="auto"/>
        <w:ind w:firstLine="720"/>
        <w:jc w:val="both"/>
      </w:pPr>
      <w:r>
        <w:t xml:space="preserve">Sec.</w:t>
      </w:r>
      <w:r xml:space="preserve">
        <w:t> </w:t>
      </w:r>
      <w:r>
        <w:t xml:space="preserve">154.129.</w:t>
      </w:r>
      <w:r xml:space="preserve">
        <w:t> </w:t>
      </w:r>
      <w:r xml:space="preserve">
        <w:t> </w:t>
      </w:r>
      <w:r>
        <w:t xml:space="preserve">ALTERNATIVE METHOD OF COMPUTING SUPPORT FOR CHILDREN IN MORE THAN ONE HOUSEHOLD.  </w:t>
      </w:r>
      <w:r>
        <w:rPr>
          <w:u w:val="single"/>
        </w:rPr>
        <w:t xml:space="preserve">(a) </w:t>
      </w:r>
      <w:r>
        <w:rPr>
          <w:u w:val="single"/>
        </w:rPr>
        <w:t xml:space="preserve"> </w:t>
      </w:r>
      <w:r>
        <w:rPr>
          <w:u w:val="single"/>
        </w:rPr>
        <w:t xml:space="preserve">If the obligor's monthly net resources are not greater than the amount described by Section 154.125(a) and if the obligor's monthly net resources are equal to or greater than the amount described by Section 154.125(c), in</w:t>
      </w:r>
      <w:r>
        <w:t xml:space="preserve"> [</w:t>
      </w:r>
      <w:r>
        <w:rPr>
          <w:strike/>
        </w:rPr>
        <w:t xml:space="preserve">In</w:t>
      </w:r>
      <w:r>
        <w:t xml:space="preserve">]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tc>
        <w:tc>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obligor's monthly net resources are less than the amount described by Section 154.125(c),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rPr>
          <w:u w:val="single"/>
        </w:rPr>
        <w:t xml:space="preserve">LOW-INCOME MULTIPLE FAMILY ADJUSTED GUIDELINES</w:t>
      </w:r>
    </w:p>
    <w:p w:rsidR="003F3435" w:rsidRDefault="0032493E">
      <w:pPr>
        <w:spacing w:line="480" w:lineRule="auto"/>
        <w:jc w:val="center"/>
      </w:pPr>
      <w:r>
        <w:rPr>
          <w:u w:val="single"/>
        </w:rPr>
        <w:t xml:space="preserve">(% OF NET RESOURCES)</w:t>
      </w:r>
    </w:p>
    <w:p w:rsidR="003F3435" w:rsidRDefault="0032493E">
      <w:pPr>
        <w:spacing w:line="480" w:lineRule="auto"/>
        <w:jc w:val="center"/>
      </w:pPr>
      <w:r>
        <w:rPr>
          <w:u w:val="single"/>
        </w:rPr>
        <w:t xml:space="preserve">Number of children before the court</w:t>
      </w:r>
    </w:p>
    <w:tbl>
      <w:tr>
        <w:tc>
          <w:p/>
        </w:tc>
        <w:tc>
          <w:p/>
        </w:tc>
        <w:tc>
          <w:p>
            <w:r>
              <w:rPr>
                <w:u w:val="single"/>
              </w:rPr>
              <w:t xml:space="preserve">1</w:t>
            </w:r>
          </w:p>
        </w:tc>
        <w:tc>
          <w:p>
            <w:r>
              <w:rPr>
                <w:u w:val="single"/>
              </w:rPr>
              <w:t xml:space="preserve">2</w:t>
            </w:r>
          </w:p>
        </w:tc>
        <w:tc>
          <w:p>
            <w:r>
              <w:rPr>
                <w:u w:val="single"/>
              </w:rPr>
              <w:t xml:space="preserve">3</w:t>
            </w:r>
          </w:p>
        </w:tc>
        <w:tc>
          <w:p>
            <w:r>
              <w:rPr>
                <w:u w:val="single"/>
              </w:rPr>
              <w:t xml:space="preserve">4</w:t>
            </w:r>
          </w:p>
        </w:tc>
        <w:tc>
          <w:p>
            <w:r>
              <w:rPr>
                <w:u w:val="single"/>
              </w:rPr>
              <w:t xml:space="preserve">5</w:t>
            </w:r>
          </w:p>
        </w:tc>
        <w:tc>
          <w:p>
            <w:r>
              <w:rPr>
                <w:u w:val="single"/>
              </w:rPr>
              <w:t xml:space="preserve">6</w:t>
            </w:r>
          </w:p>
        </w:tc>
        <w:tc>
          <w:p>
            <w:r>
              <w:rPr>
                <w:u w:val="single"/>
              </w:rPr>
              <w:t xml:space="preserve">7</w:t>
            </w:r>
          </w:p>
        </w:tc>
      </w:tr>
      <w:tr>
        <w:tc>
          <w:p>
            <w:r>
              <w:rPr>
                <w:u w:val="single"/>
              </w:rPr>
              <w:t xml:space="preserve">Number of</w:t>
            </w:r>
          </w:p>
        </w:tc>
        <w:tc>
          <w:p>
            <w:r>
              <w:rPr>
                <w:u w:val="single"/>
              </w:rPr>
              <w:t xml:space="preserve">0</w:t>
            </w:r>
          </w:p>
        </w:tc>
        <w:tc>
          <w:p>
            <w:r>
              <w:rPr>
                <w:u w:val="single"/>
              </w:rPr>
              <w:t xml:space="preserve">15.00</w:t>
            </w:r>
          </w:p>
        </w:tc>
        <w:tc>
          <w:p>
            <w:r>
              <w:rPr>
                <w:u w:val="single"/>
              </w:rPr>
              <w:t xml:space="preserve">20.00</w:t>
            </w:r>
          </w:p>
        </w:tc>
        <w:tc>
          <w:p>
            <w:r>
              <w:rPr>
                <w:u w:val="single"/>
              </w:rPr>
              <w:t xml:space="preserve">25.00</w:t>
            </w:r>
          </w:p>
        </w:tc>
        <w:tc>
          <w:p>
            <w:r>
              <w:rPr>
                <w:u w:val="single"/>
              </w:rPr>
              <w:t xml:space="preserve">30.00</w:t>
            </w:r>
          </w:p>
        </w:tc>
        <w:tc>
          <w:p>
            <w:r>
              <w:rPr>
                <w:u w:val="single"/>
              </w:rPr>
              <w:t xml:space="preserve">35.00</w:t>
            </w:r>
          </w:p>
        </w:tc>
        <w:tc>
          <w:p>
            <w:r>
              <w:rPr>
                <w:u w:val="single"/>
              </w:rPr>
              <w:t xml:space="preserve">35.00</w:t>
            </w:r>
          </w:p>
        </w:tc>
        <w:tc>
          <w:p>
            <w:r>
              <w:rPr>
                <w:u w:val="single"/>
              </w:rPr>
              <w:t xml:space="preserve">35.00</w:t>
            </w:r>
          </w:p>
        </w:tc>
      </w:tr>
      <w:tr>
        <w:tc>
          <w:p>
            <w:r>
              <w:rPr>
                <w:u w:val="single"/>
              </w:rPr>
              <w:t xml:space="preserve">other</w:t>
            </w:r>
          </w:p>
        </w:tc>
        <w:tc>
          <w:p>
            <w:r>
              <w:rPr>
                <w:u w:val="single"/>
              </w:rPr>
              <w:t xml:space="preserve">1</w:t>
            </w:r>
          </w:p>
        </w:tc>
        <w:tc>
          <w:p>
            <w:r>
              <w:rPr>
                <w:u w:val="single"/>
              </w:rPr>
              <w:t xml:space="preserve">13.50</w:t>
            </w:r>
          </w:p>
        </w:tc>
        <w:tc>
          <w:p>
            <w:r>
              <w:rPr>
                <w:u w:val="single"/>
              </w:rPr>
              <w:t xml:space="preserve">18.33</w:t>
            </w:r>
          </w:p>
        </w:tc>
        <w:tc>
          <w:p>
            <w:r>
              <w:rPr>
                <w:u w:val="single"/>
              </w:rPr>
              <w:t xml:space="preserve">23.13</w:t>
            </w:r>
          </w:p>
        </w:tc>
        <w:tc>
          <w:p>
            <w:r>
              <w:rPr>
                <w:u w:val="single"/>
              </w:rPr>
              <w:t xml:space="preserve">27.90</w:t>
            </w:r>
          </w:p>
        </w:tc>
        <w:tc>
          <w:p>
            <w:r>
              <w:rPr>
                <w:u w:val="single"/>
              </w:rPr>
              <w:t xml:space="preserve">32.96</w:t>
            </w:r>
          </w:p>
        </w:tc>
        <w:tc>
          <w:p>
            <w:r>
              <w:rPr>
                <w:u w:val="single"/>
              </w:rPr>
              <w:t xml:space="preserve">33.25</w:t>
            </w:r>
          </w:p>
        </w:tc>
        <w:tc>
          <w:p>
            <w:r>
              <w:rPr>
                <w:u w:val="single"/>
              </w:rPr>
              <w:t xml:space="preserve">33.47</w:t>
            </w:r>
          </w:p>
        </w:tc>
      </w:tr>
      <w:tr>
        <w:tc>
          <w:p>
            <w:r>
              <w:rPr>
                <w:u w:val="single"/>
              </w:rPr>
              <w:t xml:space="preserve">children for</w:t>
            </w:r>
          </w:p>
        </w:tc>
        <w:tc>
          <w:p>
            <w:r>
              <w:rPr>
                <w:u w:val="single"/>
              </w:rPr>
              <w:t xml:space="preserve">2</w:t>
            </w:r>
          </w:p>
        </w:tc>
        <w:tc>
          <w:p>
            <w:r>
              <w:rPr>
                <w:u w:val="single"/>
              </w:rPr>
              <w:t xml:space="preserve">12.50</w:t>
            </w:r>
          </w:p>
        </w:tc>
        <w:tc>
          <w:p>
            <w:r>
              <w:rPr>
                <w:u w:val="single"/>
              </w:rPr>
              <w:t xml:space="preserve">17.00</w:t>
            </w:r>
          </w:p>
        </w:tc>
        <w:tc>
          <w:p>
            <w:r>
              <w:rPr>
                <w:u w:val="single"/>
              </w:rPr>
              <w:t xml:space="preserve">21.50</w:t>
            </w:r>
          </w:p>
        </w:tc>
        <w:tc>
          <w:p>
            <w:r>
              <w:rPr>
                <w:u w:val="single"/>
              </w:rPr>
              <w:t xml:space="preserve">26.50</w:t>
            </w:r>
          </w:p>
        </w:tc>
        <w:tc>
          <w:p>
            <w:r>
              <w:rPr>
                <w:u w:val="single"/>
              </w:rPr>
              <w:t xml:space="preserve">31.50</w:t>
            </w:r>
          </w:p>
        </w:tc>
        <w:tc>
          <w:p>
            <w:r>
              <w:rPr>
                <w:u w:val="single"/>
              </w:rPr>
              <w:t xml:space="preserve">31.94</w:t>
            </w:r>
          </w:p>
        </w:tc>
        <w:tc>
          <w:p>
            <w:r>
              <w:rPr>
                <w:u w:val="single"/>
              </w:rPr>
              <w:t xml:space="preserve">32.28</w:t>
            </w:r>
          </w:p>
        </w:tc>
      </w:tr>
      <w:tr>
        <w:tc>
          <w:p>
            <w:r>
              <w:rPr>
                <w:u w:val="single"/>
              </w:rPr>
              <w:t xml:space="preserve">whom the</w:t>
            </w:r>
          </w:p>
        </w:tc>
        <w:tc>
          <w:p>
            <w:r>
              <w:rPr>
                <w:u w:val="single"/>
              </w:rPr>
              <w:t xml:space="preserve">3</w:t>
            </w:r>
          </w:p>
        </w:tc>
        <w:tc>
          <w:p>
            <w:r>
              <w:rPr>
                <w:u w:val="single"/>
              </w:rPr>
              <w:t xml:space="preserve">11.63</w:t>
            </w:r>
          </w:p>
        </w:tc>
        <w:tc>
          <w:p>
            <w:r>
              <w:rPr>
                <w:u w:val="single"/>
              </w:rPr>
              <w:t xml:space="preserve">15.80</w:t>
            </w:r>
          </w:p>
        </w:tc>
        <w:tc>
          <w:p>
            <w:r>
              <w:rPr>
                <w:u w:val="single"/>
              </w:rPr>
              <w:t xml:space="preserve">20.63</w:t>
            </w:r>
          </w:p>
        </w:tc>
        <w:tc>
          <w:p>
            <w:r>
              <w:rPr>
                <w:u w:val="single"/>
              </w:rPr>
              <w:t xml:space="preserve">25.50</w:t>
            </w:r>
          </w:p>
        </w:tc>
        <w:tc>
          <w:p>
            <w:r>
              <w:rPr>
                <w:u w:val="single"/>
              </w:rPr>
              <w:t xml:space="preserve">30.41</w:t>
            </w:r>
          </w:p>
        </w:tc>
        <w:tc>
          <w:p>
            <w:r>
              <w:rPr>
                <w:u w:val="single"/>
              </w:rPr>
              <w:t xml:space="preserve">30.92</w:t>
            </w:r>
          </w:p>
        </w:tc>
        <w:tc>
          <w:p>
            <w:r>
              <w:rPr>
                <w:u w:val="single"/>
              </w:rPr>
              <w:t xml:space="preserve">31.33</w:t>
            </w:r>
          </w:p>
        </w:tc>
      </w:tr>
      <w:tr>
        <w:tc>
          <w:p>
            <w:r>
              <w:rPr>
                <w:u w:val="single"/>
              </w:rPr>
              <w:t xml:space="preserve">obligor</w:t>
            </w:r>
          </w:p>
        </w:tc>
        <w:tc>
          <w:p>
            <w:r>
              <w:rPr>
                <w:u w:val="single"/>
              </w:rPr>
              <w:t xml:space="preserve">4</w:t>
            </w:r>
          </w:p>
        </w:tc>
        <w:tc>
          <w:p>
            <w:r>
              <w:rPr>
                <w:u w:val="single"/>
              </w:rPr>
              <w:t xml:space="preserve">10.80</w:t>
            </w:r>
          </w:p>
        </w:tc>
        <w:tc>
          <w:p>
            <w:r>
              <w:rPr>
                <w:u w:val="single"/>
              </w:rPr>
              <w:t xml:space="preserve">15.33</w:t>
            </w:r>
          </w:p>
        </w:tc>
        <w:tc>
          <w:p>
            <w:r>
              <w:rPr>
                <w:u w:val="single"/>
              </w:rPr>
              <w:t xml:space="preserve">20.00</w:t>
            </w:r>
          </w:p>
        </w:tc>
        <w:tc>
          <w:p>
            <w:r>
              <w:rPr>
                <w:u w:val="single"/>
              </w:rPr>
              <w:t xml:space="preserve">24.75</w:t>
            </w:r>
          </w:p>
        </w:tc>
        <w:tc>
          <w:p>
            <w:r>
              <w:rPr>
                <w:u w:val="single"/>
              </w:rPr>
              <w:t xml:space="preserve">29.56</w:t>
            </w:r>
          </w:p>
        </w:tc>
        <w:tc>
          <w:p>
            <w:r>
              <w:rPr>
                <w:u w:val="single"/>
              </w:rPr>
              <w:t xml:space="preserve">30.10</w:t>
            </w:r>
          </w:p>
        </w:tc>
        <w:tc>
          <w:p>
            <w:r>
              <w:rPr>
                <w:u w:val="single"/>
              </w:rPr>
              <w:t xml:space="preserve">30.55</w:t>
            </w:r>
          </w:p>
        </w:tc>
      </w:tr>
      <w:tr>
        <w:tc>
          <w:p>
            <w:r>
              <w:rPr>
                <w:u w:val="single"/>
              </w:rPr>
              <w:t xml:space="preserve">has a</w:t>
            </w:r>
          </w:p>
        </w:tc>
        <w:tc>
          <w:p>
            <w:r>
              <w:rPr>
                <w:u w:val="single"/>
              </w:rPr>
              <w:t xml:space="preserve">5</w:t>
            </w:r>
          </w:p>
        </w:tc>
        <w:tc>
          <w:p>
            <w:r>
              <w:rPr>
                <w:u w:val="single"/>
              </w:rPr>
              <w:t xml:space="preserve">10.63</w:t>
            </w:r>
          </w:p>
        </w:tc>
        <w:tc>
          <w:p>
            <w:r>
              <w:rPr>
                <w:u w:val="single"/>
              </w:rPr>
              <w:t xml:space="preserve">15.00</w:t>
            </w:r>
          </w:p>
        </w:tc>
        <w:tc>
          <w:p>
            <w:r>
              <w:rPr>
                <w:u w:val="single"/>
              </w:rPr>
              <w:t xml:space="preserve">19.53</w:t>
            </w:r>
          </w:p>
        </w:tc>
        <w:tc>
          <w:p>
            <w:r>
              <w:rPr>
                <w:u w:val="single"/>
              </w:rPr>
              <w:t xml:space="preserve">24.17</w:t>
            </w:r>
          </w:p>
        </w:tc>
        <w:tc>
          <w:p>
            <w:r>
              <w:rPr>
                <w:u w:val="single"/>
              </w:rPr>
              <w:t xml:space="preserve">28.88</w:t>
            </w:r>
          </w:p>
        </w:tc>
        <w:tc>
          <w:p>
            <w:r>
              <w:rPr>
                <w:u w:val="single"/>
              </w:rPr>
              <w:t xml:space="preserve">29.43</w:t>
            </w:r>
          </w:p>
        </w:tc>
        <w:tc>
          <w:p>
            <w:r>
              <w:rPr>
                <w:u w:val="single"/>
              </w:rPr>
              <w:t xml:space="preserve">29.90</w:t>
            </w:r>
          </w:p>
        </w:tc>
      </w:tr>
      <w:tr>
        <w:tc>
          <w:p>
            <w:r>
              <w:rPr>
                <w:u w:val="single"/>
              </w:rPr>
              <w:t xml:space="preserve">duty of</w:t>
            </w:r>
          </w:p>
        </w:tc>
        <w:tc>
          <w:p>
            <w:r>
              <w:rPr>
                <w:u w:val="single"/>
              </w:rPr>
              <w:t xml:space="preserve">6</w:t>
            </w:r>
          </w:p>
        </w:tc>
        <w:tc>
          <w:p>
            <w:r>
              <w:rPr>
                <w:u w:val="single"/>
              </w:rPr>
              <w:t xml:space="preserve">10.50</w:t>
            </w:r>
          </w:p>
        </w:tc>
        <w:tc>
          <w:p>
            <w:r>
              <w:rPr>
                <w:u w:val="single"/>
              </w:rPr>
              <w:t xml:space="preserve">14.75</w:t>
            </w:r>
          </w:p>
        </w:tc>
        <w:tc>
          <w:p>
            <w:r>
              <w:rPr>
                <w:u w:val="single"/>
              </w:rPr>
              <w:t xml:space="preserve">19.17</w:t>
            </w:r>
          </w:p>
        </w:tc>
        <w:tc>
          <w:p>
            <w:r>
              <w:rPr>
                <w:u w:val="single"/>
              </w:rPr>
              <w:t xml:space="preserve">23.70</w:t>
            </w:r>
          </w:p>
        </w:tc>
        <w:tc>
          <w:p>
            <w:r>
              <w:rPr>
                <w:u w:val="single"/>
              </w:rPr>
              <w:t xml:space="preserve">28.32</w:t>
            </w:r>
          </w:p>
        </w:tc>
        <w:tc>
          <w:p>
            <w:r>
              <w:rPr>
                <w:u w:val="single"/>
              </w:rPr>
              <w:t xml:space="preserve">28.88</w:t>
            </w:r>
          </w:p>
        </w:tc>
        <w:tc>
          <w:p>
            <w:r>
              <w:rPr>
                <w:u w:val="single"/>
              </w:rPr>
              <w:t xml:space="preserve">29.35</w:t>
            </w:r>
          </w:p>
        </w:tc>
      </w:tr>
      <w:tr>
        <w:tc>
          <w:p>
            <w:r>
              <w:rPr>
                <w:u w:val="single"/>
              </w:rPr>
              <w:t xml:space="preserve">support</w:t>
            </w:r>
          </w:p>
        </w:tc>
        <w:tc>
          <w:p>
            <w:r>
              <w:rPr>
                <w:u w:val="single"/>
              </w:rPr>
              <w:t xml:space="preserve">7</w:t>
            </w:r>
          </w:p>
        </w:tc>
        <w:tc>
          <w:p>
            <w:r>
              <w:rPr>
                <w:u w:val="single"/>
              </w:rPr>
              <w:t xml:space="preserve">10.41</w:t>
            </w:r>
          </w:p>
        </w:tc>
        <w:tc>
          <w:p>
            <w:r>
              <w:rPr>
                <w:u w:val="single"/>
              </w:rPr>
              <w:t xml:space="preserve">14.56</w:t>
            </w:r>
          </w:p>
        </w:tc>
        <w:tc>
          <w:p>
            <w:r>
              <w:rPr>
                <w:u w:val="single"/>
              </w:rPr>
              <w:t xml:space="preserve">18.88</w:t>
            </w:r>
          </w:p>
        </w:tc>
        <w:tc>
          <w:p>
            <w:r>
              <w:rPr>
                <w:u w:val="single"/>
              </w:rPr>
              <w:t xml:space="preserve">23.32</w:t>
            </w:r>
          </w:p>
        </w:tc>
        <w:tc>
          <w:p>
            <w:r>
              <w:rPr>
                <w:u w:val="single"/>
              </w:rPr>
              <w:t xml:space="preserve">27.85</w:t>
            </w:r>
          </w:p>
        </w:tc>
        <w:tc>
          <w:p>
            <w:r>
              <w:rPr>
                <w:u w:val="single"/>
              </w:rPr>
              <w:t xml:space="preserve">28.40</w:t>
            </w:r>
          </w:p>
        </w:tc>
        <w:tc>
          <w:p>
            <w:r>
              <w:rPr>
                <w:u w:val="single"/>
              </w:rPr>
              <w:t xml:space="preserve">28.88</w:t>
            </w:r>
          </w:p>
        </w:tc>
      </w:tr>
    </w:tbl>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w:t>
      </w:r>
      <w:r>
        <w:rPr>
          <w:u w:val="single"/>
        </w:rPr>
        <w:t xml:space="preserve">through</w:t>
      </w:r>
      <w:r>
        <w:t xml:space="preserve"> </w:t>
      </w:r>
      <w:r>
        <w:t xml:space="preserve">[</w:t>
      </w:r>
      <w:r>
        <w:rPr>
          <w:strike/>
        </w:rPr>
        <w:t xml:space="preserve">to</w:t>
      </w:r>
      <w:r>
        <w:t xml:space="preserve">]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to Sections 154.125 and 154.129, Family Code,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