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history record information requirement for applicants for renewal of a license issued by the Texas State Board of Public Accountancy.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Texas State Board of Public Accountancy shall require each applicant for renewal of a license under Subchapter I, Chapter 901, Occupations Code, to first comply with the requirement of Section 901.169(a), Occupations Code, not later than September 1, 2022.  Notwithstanding Sections 901.169(a)(2)(E) and 901.403(c), Occupations Code, an applicant for renewal of a license is not required to comply with Section 901.169(a), Occupations Code, until first required to by the board as provided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22(d), Chapter 181 (H.B. 1520), Acts of the 86th Legislature, Regular Session, 2019,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