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criminal history record information requirement for applicants for renewal of a license issued by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not later than September 1, 2022.  Notwithstanding Sections 901.169(a)(2)(E) and 901.403(c), Occupations Code, an applicant for renewal of a license is not required to comply with Section 901.169(a), Occupations Code, until first required to by the board as provided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22(d), Chapter 181 (H.B. 1520), Acts of the 86th Legislature, Regular Session,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297 passed the Senate on April</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297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