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297</w:t>
      </w:r>
    </w:p>
    <w:p w:rsidR="003F3435" w:rsidRDefault="0032493E">
      <w:pPr>
        <w:ind w:firstLine="720"/>
        <w:jc w:val="both"/>
      </w:pPr>
      <w:r>
        <w:t xml:space="preserve">(Button, Stephenson, Sanford, Frullo)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history record information requirement for applicants for renewal of a license issued by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not later than September 1, 2022.  Notwithstanding Sections 901.169(a)(2)(E) and 901.403(c), Occupations Code, an applicant for renewal of a license is not required to comply with Section 901.169(a), Occupations Code, until first required to by the board as provided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22(d), Chapter 181 (H.B. 1520), Acts of the 86th Legislature, Regular Session, 2019,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