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87R3413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goal for competitive zero-carbon electric generation.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39.1516, 39.155, 39.157(e), 39.203, 39.904, 39.9051, 39.9052, [</w:t>
      </w:r>
      <w:r>
        <w:rPr>
          <w:strike/>
        </w:rPr>
        <w:t xml:space="preserve">and</w:t>
      </w:r>
      <w:r>
        <w:t xml:space="preserve">] 39.914(e), </w:t>
      </w:r>
      <w:r>
        <w:rPr>
          <w:u w:val="single"/>
        </w:rPr>
        <w:t xml:space="preserve">and 39.918,</w:t>
      </w:r>
      <w:r>
        <w:t xml:space="preserv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39.1516, 39.904, [</w:t>
      </w:r>
      <w:r>
        <w:rPr>
          <w:strike/>
        </w:rPr>
        <w:t xml:space="preserve">and</w:t>
      </w:r>
      <w:r>
        <w:t xml:space="preserve">] 39.905, </w:t>
      </w:r>
      <w:r>
        <w:rPr>
          <w:u w:val="single"/>
        </w:rPr>
        <w:t xml:space="preserve">and 39.918,</w:t>
      </w:r>
      <w:r>
        <w:t xml:space="preserve">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39.1516, 39.904, [</w:t>
      </w:r>
      <w:r>
        <w:rPr>
          <w:strike/>
        </w:rPr>
        <w:t xml:space="preserve">and</w:t>
      </w:r>
      <w:r>
        <w:t xml:space="preserve">] 39.905, </w:t>
      </w:r>
      <w:r>
        <w:rPr>
          <w:u w:val="single"/>
        </w:rPr>
        <w:t xml:space="preserve">and 39.918,</w:t>
      </w:r>
      <w:r>
        <w:t xml:space="preserve">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39.1516, 39.904, [</w:t>
      </w:r>
      <w:r>
        <w:rPr>
          <w:strike/>
        </w:rPr>
        <w:t xml:space="preserve">and</w:t>
      </w:r>
      <w:r>
        <w:t xml:space="preserve">] 39.905, </w:t>
      </w:r>
      <w:r>
        <w:rPr>
          <w:u w:val="single"/>
        </w:rPr>
        <w:t xml:space="preserve">and 39.918,</w:t>
      </w:r>
      <w:r>
        <w:t xml:space="preserve"> do not apply to that utility.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39.1516, 39.904, [</w:t>
      </w:r>
      <w:r>
        <w:rPr>
          <w:strike/>
        </w:rPr>
        <w:t xml:space="preserve">and</w:t>
      </w:r>
      <w:r>
        <w:t xml:space="preserve">] 39.905, </w:t>
      </w:r>
      <w:r>
        <w:rPr>
          <w:u w:val="single"/>
        </w:rPr>
        <w:t xml:space="preserve">and 39.918,</w:t>
      </w:r>
      <w:r>
        <w:t xml:space="preserve"> do not apply to that utility.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GOAL FOR COMPETITIVE ZERO-CARBON ENERGY.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"Biomass fuel" means fuel developed from organic material, including material derived from plants, crops, wood or forest residues, waste residues, waste from food crops, horticulture, food processing, animal farming, animal waste, landfills, and sewage treatment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"Zero-carbon energy technology" means a technology that relies exclusively on an energy source that does not emit a greenhouse gas in the production of electricity.  The term includes a technology that effectively captures and sequesters greenhouse gases before their release into the atmosphere.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the amount of electric power generated in this state from zero-carbon energy technology for delivery by a retail electric provider, municipally owned utility, or electric cooperative each year will increase to meet the following percentages on or before the specified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January 1, 2025, not less than 65 percent of the annual total;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January 1, 2030, not less than 85 percent of the annual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January 1, 2035, 100 percent of the annual total.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minimum annual zero-carbon energy technology generation requirement for each retail electric provider, municipally owned utility, and electric cooperative operating in this state in a manner designed to produce, on a statewide basis, compliance with the requirement prescribed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reasonable standards that zero-carbon energy generation must meet to count toward compliance with the requirement prescribed by Subsection (b)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designed and operated so as to maximize the use of all resources available to meet electric demand and reliability needs from the capacity additions in accordance with then-current industry standards;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encourage the development, construction, and operation of new zero-carbon energy technology projects at sites in this state that have the greatest economic potential for capture and development of resources for zero-carbon energy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 zero-carbon energy generation credits trading program.  A retail electric provider, municipally owned utility, or electric cooperative that does not satisfy the requirements of Subsection (b) by directly owning or purchasing energy generated using zero-carbon energy technologies shall purchase sufficient zero-carbon energy generation credits to satisfy the requirements by holding zero-carbon energy generation credits in lieu of energy generated from zero-carbon energy technologies.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means for a  retail electric provider, municipally owned utility, or electric cooperative to satisfy the requirements of Subsection (b) by generating electricity using biomass fuel instead of directly owning or purchasing energy generated using zero-carbon energy technologies.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cap the price of zero-carbon energy credits and may suspend the goal established by Subsection (b) as necessary to protect the reliability and operation of the grid.  A price cap established under this subsection must equal or exceed the social cost of carbon as determined by the United States Environmental Protection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establish a carbon offset alternative payment program.  An entity required by this section to purchase a zero-carbon energy generation credit may choose to purchase and apply a carbon capture and sequestration credit instead of a zero-carbon energy generation credit toward the satisfaction of the entity's obligation under this section.  A carbon capture and sequestration credit must be purchased through a marketplace certified by the commission to offset the same amount of carbon as is produced by the entity's carbon energy generation.  The offset payment must equal or exceed the social cost of carbon as determined by the United States Environmental Protection Agency.  In implementing this subsection,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effects of zero-carbon energy credit prices on electric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the carbon offset alternative payments on the zero-carbon energy credit market.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40.001(a), Utilities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strike/>
        </w:rPr>
        <w:t xml:space="preserve">and</w:t>
      </w:r>
      <w:r>
        <w:t xml:space="preserve">] 39.904, </w:t>
      </w:r>
      <w:r>
        <w:rPr>
          <w:u w:val="single"/>
        </w:rPr>
        <w:t xml:space="preserve">and 39.918,</w:t>
      </w:r>
      <w:r>
        <w:t xml:space="preserve">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the renewable energy credits program under Section 39.904(b)</w:t>
      </w:r>
      <w:r>
        <w:rPr>
          <w:u w:val="single"/>
        </w:rPr>
        <w:t xml:space="preserve">,</w:t>
      </w:r>
      <w:r>
        <w:t xml:space="preserve"> [</w:t>
      </w:r>
      <w:r>
        <w:rPr>
          <w:strike/>
        </w:rPr>
        <w:t xml:space="preserve">and</w:t>
      </w:r>
      <w:r>
        <w:t xml:space="preserve">] the natural gas energy credits program under Section 39.9044(b)</w:t>
      </w:r>
      <w:r>
        <w:rPr>
          <w:u w:val="single"/>
        </w:rPr>
        <w:t xml:space="preserve">, and the zero-carbon energy generation credits trading program under Section 39.918(d)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41.001, Utilities Code, is amended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strike/>
        </w:rPr>
        <w:t xml:space="preserve">and</w:t>
      </w:r>
      <w:r>
        <w:t xml:space="preserve">] 39.904, </w:t>
      </w:r>
      <w:r>
        <w:rPr>
          <w:u w:val="single"/>
        </w:rPr>
        <w:t xml:space="preserve">and 39.918,</w:t>
      </w:r>
      <w:r>
        <w:t xml:space="preserve">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Public Utility Commission of Texas shall adopt rules required by Section 39.918, Utilities Code, as added by this Act, not later than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