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87R2219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322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presumptive eligibility of certain elderly individuals for home and community-based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32.02605.</w:t>
      </w:r>
      <w:r>
        <w:rPr>
          <w:u w:val="single"/>
        </w:rPr>
        <w:t xml:space="preserve"> </w:t>
      </w:r>
      <w:r>
        <w:rPr>
          <w:u w:val="single"/>
        </w:rPr>
        <w:t xml:space="preserve"> </w:t>
      </w:r>
      <w:r>
        <w:rPr>
          <w:u w:val="single"/>
        </w:rPr>
        <w:t xml:space="preserve">PRESUMPTIVE ELIGIBILITY OF CERTAIN ELDERLY INDIVIDUALS FOR HOME AND COMMUNITY-BASED SERVICES.  (a) </w:t>
      </w:r>
      <w:r>
        <w:rPr>
          <w:u w:val="single"/>
        </w:rPr>
        <w:t xml:space="preserve"> </w:t>
      </w:r>
      <w:r>
        <w:rPr>
          <w:u w:val="single"/>
        </w:rPr>
        <w:t xml:space="preserve">In this section, "elderly" means an individual who is at least 65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by rule adopt a program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and certification of presumptive eligibility for medical assistance of an elderly individual who requires a skilled level of nursing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 through the medical assistance program to the individual of that care in a home or community-based setting instead of in an institutional setting, provided the individual applies for and meets the basic eligibility requirements for medical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medical assistance benefits under a presumptive eligibility determination for a period of not more than 90 days;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criteria and a process for determining the entities authorized to make determinations of presumptive eligibility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preliminary screening tool to entities described by Subdivision (2) that will allow representatives of those entities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make a determination as to whether an applicant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functionally able to live at home or in a community setting;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likely to be financially eligible for medical assistance;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the determination under Paragraph (A)(ii) not later than the fourth day after the date a determination is made under Paragraph (A)(i);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initiate the provision of medical assistance benefits not later than the fifth day after the date an applicant is determined eligible under Paragraph (A)(i);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an applicant to sign a written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attesting to the accuracy of financial and other information the applicant provides and on which presumptive eligibility is based;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acknowledging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state-funded services are subject to the period prescribed by Subdivision (1);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applicant is required to comply with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who is determined presumptively eligible for medical assistance under the program established by this section must complete an application for medical assistance not later than the 10th day after the date the applicant is screened for functional eligibility under Subsection (c)(3)(A)(i).</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45th day after the date the commission receives an application under Subsection (d), the commission shall make a final determination of eligibility for medical assistance.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permitted by federal law, the commission shall retroactively apply a final determination of eligibility for medical assistance under Subsection (e) for a period that does not precede the 90th day before the date the application was filed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submit an annual report to the standing committees of the senate and house of representatives having jurisdiction over the medical assistance program that details: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determined presumptively eligible for medical assistance under the program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savings to the state based on how much institutional care would have cost for individuals determined presumptively eligible for medical assistance under the program established under this section who were later determined eligible for medical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individuals determined presumptively eligible for medical assistance under the program established under this section who were later determined not eligible for medical assistance and the cost to the state to provide those individuals with home or community-based services before the final determination of eligibility for medical assistance.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report required under Subsection (g) may be combined with any other report required by this chapter or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