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87R1451 GCB-D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Lucio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medical use of low-THC cannabis by certain patients with post-traumatic stress disorder under the Texas Compassionate Use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169.003,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169.003.</w:t>
      </w:r>
      <w:r xml:space="preserve">
        <w:t> </w:t>
      </w:r>
      <w:r xml:space="preserve">
        <w:t> </w:t>
      </w:r>
      <w:r>
        <w:t xml:space="preserve">PRESCRIPTION OF LOW-THC CANNABIS. A physician described by Section 169.002 may prescribe low-THC cannabis to a patient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patient is a permanent resident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physician complies with the registration requirements of Section 169.004;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physician certifies to the department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patient is diagnosed with: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epilepsy;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seizure disorder;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multiple sclerosis;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spasticity;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amyotrophic lateral sclerosis;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autism;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terminal cancer;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(viii)</w:t>
      </w:r>
      <w:r xml:space="preserve">
        <w:t> </w:t>
      </w:r>
      <w:r xml:space="preserve">
        <w:t> </w:t>
      </w:r>
      <w:r>
        <w:t xml:space="preserve">an incurable neurodegenerative disease;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(ix)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post-traumatic stress disorder;</w:t>
      </w:r>
      <w:r>
        <w:t xml:space="preserve">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physician determines the risk of the medical use of low-THC cannabis by the patient is reasonable in light of the potential benefit for the patient.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