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87R1269 CJC-D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w:t>
      </w:r>
      <w:r xml:space="preserve">
        <w:tab wTab="150" tlc="none" cTlc="0"/>
      </w:r>
      <w:r>
        <w:t xml:space="preserve">S.B.</w:t>
      </w:r>
      <w:r xml:space="preserve">
        <w:t> </w:t>
      </w:r>
      <w:r>
        <w:t xml:space="preserve">No.</w:t>
      </w:r>
      <w:r xml:space="preserve">
        <w:t> </w:t>
      </w:r>
      <w:r>
        <w:t xml:space="preserve">329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credit against the ad valorem taxes imposed on the property of certain businesses that are required to close by an order, proclamation, or other instrument issued by a state or local official as a result of a disaster.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31, Tax Code, is amended by adding Section 31.038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31.038.</w:t>
      </w:r>
      <w:r>
        <w:rPr>
          <w:u w:val="single"/>
        </w:rPr>
        <w:t xml:space="preserve"> </w:t>
      </w:r>
      <w:r>
        <w:rPr>
          <w:u w:val="single"/>
        </w:rPr>
        <w:t xml:space="preserve"> </w:t>
      </w:r>
      <w:r>
        <w:rPr>
          <w:u w:val="single"/>
        </w:rPr>
        <w:t xml:space="preserve">TAX CREDIT FOR CERTAIN BUSINESSES CLOSED BY OFFICIAL ORDER.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"Qualifying official order" means an order, proclamation, or other instrument issued by the governor, another official of this state, or the governing body or an official of a political subdivision of this state in response to a disaster.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"Qualifying small business" means a business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fewer than 100 employees;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required to close by a qualifying official order;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if not for the qualifying official order, would be capable of engaging in normal business activity during the period the business is required to be closed.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owns property that is reasonably necessary for and used by the person to operate a qualifying small business is entitled to a credit against the taxes imposed in a tax year on the property by each taxing unit that taxes the property.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amount of the credit to which a property owner is entitled under this section against the taxes imposed in a tax year on the property by a taxing unit is computed by multiplying the amount of taxes imposed on the property by the taxing unit by a fraction, the denominator of which is 365 and the numerator of which is the number of days in the preceding tax year the qualifying small business the property is used to operate was closed due to a qualifying official order but would otherwise have been open.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property owner must file an application with the chief appraiser of the appraisal district in which the property is located each year to receive a credit under this section.  The application must include an affidavit stating the number of days in the preceding tax year that the qualifying small business the person operates was closed due to a qualifying official order but would otherwise have been open and include any relevant information or documentation required by the application form.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chief appraiser shall forward a copy of the application to the assessor for each taxing unit that taxes the property.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comptroller shall adopt rules for the administration of this section, including rules prescribing the form of an application for a credit.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only to ad valorem taxes imposed for a tax year beginning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2022, but only if the constitutional amendment proposed by the 87th Legislature, Regular Session, 2021, authorizing the legislature to provide for a credit against the ad valorem taxes imposed on the property of certain businesses that are required to close by an order, proclamation, or other instrument issued by a state or local official as a result of a disaster is approved by the voters.  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