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87R688 ADM-D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332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application for a writ of habeas corpus in a community supervision case.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5(a), Article 11.072,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Immediately on filing an application, the applicant shall serve a copy of the application on the attorney representing the state[</w:t>
      </w:r>
      <w:r>
        <w:rPr>
          <w:strike/>
        </w:rPr>
        <w:t xml:space="preserve">,</w:t>
      </w:r>
      <w:r>
        <w:t xml:space="preserve">] by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either</w:t>
      </w:r>
      <w:r>
        <w:t xml:space="preserve">] certified mail, return receipt requested</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 or</w:t>
      </w:r>
      <w:r>
        <w:t xml:space="preserve">] personal service</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secure electronic mail or another form of secure electronic transmission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application for a writ of habeas corpus filed on or after the effective date of this Act. An application filed before the effective date of this Act is governed by the law in effect when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