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disclosure under the public information law of certain records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property owner or the owner's agent may, on request, obtain from the chief appraiser of the applicable appraisal district a copy of each item of information described by Section 41.461(a)(2), Tax Code, and a copy of each item of information that the chief appraiser took into consideration but does not plan to introduce at the hearing on the protest. </w:t>
      </w:r>
      <w:r>
        <w:t xml:space="preserve"> </w:t>
      </w:r>
      <w:r>
        <w:t xml:space="preserve">In addition, the property owner or agent may, on request, obtain from the chief appraiser comparable sales data from a reasonable number of sales that is relevant to any matter to be determined by the appraisal review board at the hearing on the property owner's protest </w:t>
      </w:r>
      <w:r>
        <w:rPr>
          <w:u w:val="single"/>
        </w:rPr>
        <w:t xml:space="preserve">or by the arbitrator at the hearing on the property owner's appeal under Chapter 41A, Tax Code, of the appraisal review board's order determining the protest</w:t>
      </w:r>
      <w:r>
        <w:t xml:space="preserve">. </w:t>
      </w:r>
      <w:r>
        <w:t xml:space="preserve"> </w:t>
      </w:r>
      <w:r>
        <w:t xml:space="preserve">Information obtained under this subsection:</w:t>
      </w:r>
    </w:p>
    <w:p w:rsidR="003F3435" w:rsidRDefault="0032493E">
      <w:pPr>
        <w:spacing w:line="480" w:lineRule="auto"/>
        <w:ind w:firstLine="1440"/>
        <w:jc w:val="both"/>
      </w:pPr>
      <w:r>
        <w:t xml:space="preserve">(1)</w:t>
      </w:r>
      <w:r xml:space="preserve">
        <w:t> </w:t>
      </w:r>
      <w:r xml:space="preserve">
        <w:t> </w:t>
      </w:r>
      <w:r>
        <w:t xml:space="preserve">remains confidential in the possession of the property owner or agent; and</w:t>
      </w:r>
    </w:p>
    <w:p w:rsidR="003F3435" w:rsidRDefault="0032493E">
      <w:pPr>
        <w:spacing w:line="480" w:lineRule="auto"/>
        <w:ind w:firstLine="1440"/>
        <w:jc w:val="both"/>
      </w:pPr>
      <w:r>
        <w:t xml:space="preserve">(2)</w:t>
      </w:r>
      <w:r xml:space="preserve">
        <w:t> </w:t>
      </w:r>
      <w:r xml:space="preserve">
        <w:t> </w:t>
      </w:r>
      <w:r>
        <w:t xml:space="preserve">may not be disclosed or used for any purpose except as evidence or argument at the hearing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protest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appeal under Chapter 41A,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552.149(e),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described by Section 552.149(b), Government Code, as amended by this Act, received by the chief appraiser of an appraisal district on or after the effective date of this Act. </w:t>
      </w:r>
      <w:r>
        <w:t xml:space="preserve"> </w:t>
      </w:r>
      <w:r>
        <w:t xml:space="preserve">A request received by a chief appraiser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334 passed the Senate on </w:t>
      </w:r>
      <w:r>
        <w:t xml:space="preserve"> </w:t>
      </w:r>
      <w:r>
        <w:t xml:space="preserve"> </w:t>
      </w:r>
      <w:r>
        <w:t xml:space="preserve"> </w:t>
      </w:r>
      <w:r>
        <w:t xml:space="preserve">April 20, 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334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