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Internet broadcast or audio recording of certain open meetings.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551, Government Code, is amended by adding Sections 551.024 and 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2021, including any amount of general revenue transferred to the governmental body under that Act for that fiscal year, is greater than $10 million and for which the bill pattern for the General Appropriations Act for the same fiscal year designates 100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551.025.</w:t>
      </w:r>
      <w:r>
        <w:rPr>
          <w:u w:val="single"/>
        </w:rPr>
        <w:t xml:space="preserve"> </w:t>
      </w:r>
      <w:r>
        <w:rPr>
          <w:u w:val="single"/>
        </w:rPr>
        <w:t xml:space="preserve"> </w:t>
      </w:r>
      <w:r>
        <w:rPr>
          <w:u w:val="single"/>
        </w:rPr>
        <w:t xml:space="preserve">INTERNET ACCESS TO AUDIO RECORDING OF OPEN MEETING.  (a)  This section applies only to a governmental body that is an agency within the executive or legislative branch of the state government to which Section 551.024 does not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an open meeting is held, a governmental body subject to this section shall make available through the governmental body's Internet website or a social media account associated with the governmental body an audio recording of the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governmental body shall provide on the governmental body's Internet website or a social media account associated with the governmental body the same notice of the open meeting that the governmental body is required to post under Subchapter C.  The notice must be posted on the governmental body's Internet website or a social media account associated with the governmental body within the time required for posting notice under Subchapter 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audio recording of the open meeting available in a timely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551.024 and 551.025, Government Code, as added by this Act, apply only to an open meeting held on or after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