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the Texas Department of Criminal Justice for certain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101, Civil Practice and Remedies Code, is amended by adding Section 101.030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101.030.</w:t>
      </w:r>
      <w:r>
        <w:rPr>
          <w:u w:val="single"/>
        </w:rPr>
        <w:t xml:space="preserve"> </w:t>
      </w:r>
      <w:r>
        <w:rPr>
          <w:u w:val="single"/>
        </w:rPr>
        <w:t xml:space="preserve"> </w:t>
      </w:r>
      <w:r>
        <w:rPr>
          <w:u w:val="single"/>
        </w:rPr>
        <w:t xml:space="preserve">LIABILITY OF TEXAS DEPARTMENT OF CRIMINAL JUSTICE FOR CERTAIN CLAIMS.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provider" has the meaning assigned by Section 74.001.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"Physician" has the meaning assigned by Section 74.001.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Department of Criminal Justice is liable for personal injury or death proximately caused by a physician's or health care provider's treatment, lack of treatment, or other claimed departure from accepted standards of medical care, health care, safety or professional or administrative services directly related to health care if the physician or health care provider was an employee of the department or performing services under contract with the department when the treatment, lack of treatment, or other departure from the accepted standards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101.106, Civil Practice and Remedies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suit or claim against the Texas Department of Criminal Justice under Section 101.030;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 against an employee of the department that could have been brought against the department under Section 101.030;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judgment obtained against an employee of the department if a suit could have been brought against the department under Section 101.030 regarding the same subject matter as the judgment.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