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for release on parole of certain inmates serving sentences for certain offenses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 Code of Criminal Procedure, is amended by adding Section 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must reflect affirmative findings entered pursuant to Article 42.0135.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Code of Criminal Procedure, is amended by adding Article 42.0135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42.0135.</w:t>
      </w:r>
      <w:r>
        <w:rPr>
          <w:u w:val="single"/>
        </w:rPr>
        <w:t xml:space="preserve"> </w:t>
      </w:r>
      <w:r>
        <w:rPr>
          <w:u w:val="single"/>
        </w:rPr>
        <w:t xml:space="preserve"> </w:t>
      </w:r>
      <w:r>
        <w:rPr>
          <w:u w:val="single"/>
        </w:rPr>
        <w:t xml:space="preserve">FINDING IN CERTAIN FAMILY VIOLENCE ASSAULT CASES.  In the trial of an offense under Section 22.01 or 22.02, Penal Code, the judge shall make an affirmative finding of fact and enter the affirmative finding in the judgment in the case if the judge determines that the offense was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whose relationship to or association with the defendant is described by Section 71.0021(b), 71.003, or 71.005,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impeding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508.145,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inmate serving a sentence for an offense for which the judgment contains an affirmative finding under Article 42.0135, Code of Criminal Procedure, is not eligible for release on parole until the inmate's actual calendar time served, without consideration of good conduct time, equals: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five calendar years or the term to which the inmate was sentenced, whichever is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judgment for the offense also contains an affirmative finding under Article 42A.054(c) or (d), Code of Criminal Procedure, one-half of the sentence or 30 calendar years, whichever is less, except that notwithstanding Subsection (d)(2) the inmate may not become eligible for release on parole in less than five calendar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