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provision of a verified accounting for actions involving foreclosure of a lien on residential real property or recovery on a consumer credit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Civil Practice and Remedies Code, is amended by adding Chapter 150B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150B. REQUIREMENTS FOR ACTIONS INVOLVING CERTAIN DEBTS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150B.0001.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VERIFIED ACCOUNTING REQUIRED IN CERTAIN ACTIONS.  An applicant for an expedited order allowing foreclosure of a lien on residential real property under Rule 736, Texas Rules of Civil Procedure, a petitioner in an action for judicial foreclosure of a lien on residential real property, or a claimant seeking recovery in an action on a consumer credit account must file with the application, petition, or pleading a verified accounting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balance due on the account;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payment made on the account;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total and final principal amount on the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150B.0001, Civil Practice and Remedies Code, as added by this Act, applies only to an action that commences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