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87R1965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368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air quality permits for concrete plants located in certain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382, Health and Safety Code, is amended by adding Section 382.051991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382.051991.</w:t>
      </w:r>
      <w:r>
        <w:rPr>
          <w:u w:val="single"/>
        </w:rPr>
        <w:t xml:space="preserve"> </w:t>
      </w:r>
      <w:r>
        <w:rPr>
          <w:u w:val="single"/>
        </w:rPr>
        <w:t xml:space="preserve"> </w:t>
      </w:r>
      <w:r>
        <w:rPr>
          <w:u w:val="single"/>
        </w:rPr>
        <w:t xml:space="preserve">MUNICIPAL OR COUNTY APPROVAL OF CERTAIN CONCRETE PLANTS.  (a)  This section applies only to a permit application for a concrete plant located or proposed to be located in: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incorporated area of a municipality that is not subject to zoning regulations with a population of more than 2 million;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unincorporated area of a county with a population of more than 4.5 million.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permit application described by Subsection (a),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send to the governing body of the municipality or county, as applicable, a copy of the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issue the permit applied for before the 31st day after the date the governing body receives the copy unless the commission receives notice that the governing body has approved the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issue a permit under Section 382.0518, 382.05195, 382.05196, or 382.05198 or another provision of this chapter for a concrete plant described by Subsection (a) if the commission receives, before the 31st day after the date the governing body receives the copy of the application from the commission, notice that the governing body has rejected the application.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382.051991, Health and Safety Code, as added by this Act, applies only to an application for a permit that is filed with the Texas Commission on Environmental Quality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