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374</w:t>
      </w:r>
    </w:p>
    <w:p w:rsidR="003F3435" w:rsidRDefault="0032493E">
      <w:pPr>
        <w:ind w:firstLine="720"/>
        <w:jc w:val="both"/>
      </w:pPr>
      <w:r>
        <w:t xml:space="preserve">(Shine)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certain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43.1055,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43.1055.</w:t>
      </w:r>
      <w:r xml:space="preserve">
        <w:t> </w:t>
      </w:r>
      <w:r xml:space="preserve">
        <w:t> </w:t>
      </w:r>
      <w:r>
        <w:t xml:space="preserve">ANNEXATION OF </w:t>
      </w:r>
      <w:r>
        <w:rPr>
          <w:u w:val="single"/>
        </w:rPr>
        <w:t xml:space="preserve">ROAD</w:t>
      </w:r>
      <w:r>
        <w:t xml:space="preserve"> [</w:t>
      </w:r>
      <w:r>
        <w:rPr>
          <w:strike/>
        </w:rPr>
        <w:t xml:space="preserve">ROADS AND</w:t>
      </w:r>
      <w:r>
        <w:t xml:space="preserve">] RIGHTS-OF-WAY </w:t>
      </w:r>
      <w:r>
        <w:rPr>
          <w:u w:val="single"/>
        </w:rPr>
        <w:t xml:space="preserve">ON REQUEST OF OWNER OR MAINTAINING POLITICAL SUBDIVISION</w:t>
      </w:r>
      <w:r>
        <w:t xml:space="preserve">.  Notwithstanding any other law, a municipality may by ordinance annex a road [</w:t>
      </w:r>
      <w:r>
        <w:rPr>
          <w:strike/>
        </w:rPr>
        <w:t xml:space="preserve">or the</w:t>
      </w:r>
      <w:r>
        <w:t xml:space="preserve">] right-of-way [</w:t>
      </w:r>
      <w:r>
        <w:rPr>
          <w:strike/>
        </w:rPr>
        <w:t xml:space="preserve">of a road</w:t>
      </w:r>
      <w:r>
        <w:t xml:space="preserve">] on request of the owner of the [</w:t>
      </w:r>
      <w:r>
        <w:rPr>
          <w:strike/>
        </w:rPr>
        <w:t xml:space="preserve">road or</w:t>
      </w:r>
      <w:r>
        <w:t xml:space="preserve">] right-of-way or the governing body of the political subdivision that maintains the [</w:t>
      </w:r>
      <w:r>
        <w:rPr>
          <w:strike/>
        </w:rPr>
        <w:t xml:space="preserve">road or</w:t>
      </w:r>
      <w:r>
        <w:t xml:space="preserve">] right-of-way under the procedures prescribed by Subchapter C-1.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CONTIGUOUS OR CONNECTING RIGHTS-OF-WAY.  (a)  Notwithstanding any other law, a municipality that is annexing an area under Subchapter C-3, C-4, C-5, or D may also annex with the area: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right-of-way of a street, highway, alley, or other public way or of a railway line, spur, or roadbed,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 or a right-of-way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right-of-way of a public road or highway connecting the area being annexed under Subchapter C-3, C-4, C-5, or D to the municipality by the most direct route.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annex a right-of-way under this section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provides written notice of the annexation to the owner of the right-of-way, through the owner's registered agent, if applicable, not later than the 61st day before the date of the proposed annexation;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right-of-way does not submit a written objection to the municipality before the date of the proposed annexation.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owner of a right-of-way proposed to be annexed under this section is a governmental entity, the entity may specify the location at which a municipality must deliver notice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of a right-of-way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