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87R3422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registration and annual filing requirements for governmental units establishing a self-insurance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2259, Government Code, is amended by adding Section 2259.038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2259.038.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REGISTRATION AND ANNUAL FILING REQUIRED.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"department" means the Texas Department of Insurance.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unit that establishes a self-insurance fund under this subchapter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register the fund with the department on a form prescribed by the commissioner of insurance;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 file with the department: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fund's annual financial statements;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fund's articles of incorporation;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requested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the commissioner of insurance shall prescribe the registration form required by Section 2259.038,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 governmental unit is not required to comply with Section 2259.038, Government Code, as added by this Act, until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