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87R4891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number of incidents of bullying and cyberbullying in a school district and open-enrollment charter school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