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87R5975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evidence included in the statewide electronic tracking system for evidence of a sexual assault or other sex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420.034(c),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tracking system must:</w:t>
      </w:r>
    </w:p>
    <w:p w:rsidR="003F3435" w:rsidRDefault="0032493E">
      <w:pPr>
        <w:spacing w:line="480" w:lineRule="auto"/>
        <w:ind w:firstLine="1440"/>
        <w:jc w:val="both"/>
      </w:pPr>
      <w:r>
        <w:t xml:space="preserve">(1)</w:t>
      </w:r>
      <w:r xml:space="preserve">
        <w:t> </w:t>
      </w:r>
      <w:r xml:space="preserve">
        <w:t> </w:t>
      </w:r>
      <w:r>
        <w:rPr>
          <w:u w:val="single"/>
        </w:rPr>
        <w:t xml:space="preserve">include all evidence collected in relation to a sexual assault or other sex offense, regardless of whether evidence of the offense is collected in relation to an individual who is alive or deceased;</w:t>
      </w:r>
    </w:p>
    <w:p w:rsidR="003F3435" w:rsidRDefault="0032493E">
      <w:pPr>
        <w:spacing w:line="480" w:lineRule="auto"/>
        <w:ind w:firstLine="1440"/>
        <w:jc w:val="both"/>
      </w:pPr>
      <w:r>
        <w:rPr>
          <w:u w:val="single"/>
        </w:rPr>
        <w:t xml:space="preserve">(2)</w:t>
      </w:r>
      <w:r xml:space="preserve">
        <w:t> </w:t>
      </w:r>
      <w:r xml:space="preserve">
        <w:t> </w:t>
      </w:r>
      <w:r>
        <w:t xml:space="preserve">track the location and status of each item of evidence through the criminal justice process, including the initial collection of the item of evidence in a forensic medical examination, receipt and storage of the item of evidence at a law enforcement agency, receipt and analysis of the item of evidence at an accredited crime laboratory, and storage and destruction of the item of evidence after the item is analyzed;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allow a facility or entity performing a forensic medical examination of a survivor, law enforcement agency, accredited crime laboratory, prosecutor, or other entity providing a chain of custody for an item of evidence to update and track the status and location of the item;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allow a survivor to anonymously track or receive updates regarding the status and location of each item of evidence collected in relation to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evidence of a sexual assault or other sex offense collected on or after the effective date of this Act. 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