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87R3671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clarification of the law regarding the regulation of historic or culturally significant structures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315, Local Government Code, is amended by adding Section 315.007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315.007.</w:t>
      </w:r>
      <w:r>
        <w:rPr>
          <w:u w:val="single"/>
        </w:rPr>
        <w:t xml:space="preserve"> </w:t>
      </w:r>
      <w:r>
        <w:rPr>
          <w:u w:val="single"/>
        </w:rPr>
        <w:t xml:space="preserve"> </w:t>
      </w:r>
      <w:r>
        <w:rPr>
          <w:u w:val="single"/>
        </w:rPr>
        <w:t xml:space="preserve">PRESERVATION OF HISTORIC AND CULTURALLY SIGNIFICANT STRUCTURES IN CERTAIN MUNICIPALITIES.  (a) A municipality to which Section 211.0165 does not apply may adopt and enforce an ordinance, order, or other regulation whose primary purpose is to protect or maintain historic or culturally significant structures.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regulation under this section is not considered a zoning regulation for the purposes of Chapter 211 or other law, including a municipal charter, regardless of whether the regulation designates specific districts or other areas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315.007, Local Government Code, as added by this Act, is intended only to clarify existing law with respect to the  regulation of historic or culturally significant structures by certain municipalities.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