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to the Office of Court Administration of the Texas Judicial System on certain cases filed in justice and municipal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72, Government Code, is amended to read as follows:</w:t>
      </w:r>
    </w:p>
    <w:p w:rsidR="003F3435" w:rsidRDefault="0032493E">
      <w:pPr>
        <w:spacing w:line="480" w:lineRule="auto"/>
        <w:jc w:val="center"/>
      </w:pPr>
      <w:r>
        <w:t xml:space="preserve">SUBCHAPTER E. COURT PERFORMANCE </w:t>
      </w:r>
      <w:r>
        <w:rPr>
          <w:u w:val="single"/>
        </w:rPr>
        <w:t xml:space="preserve">AND OTHER REPORTS</w:t>
      </w:r>
      <w:r>
        <w:t xml:space="preserve"> [</w:t>
      </w:r>
      <w:r>
        <w:rPr>
          <w:strike/>
        </w:rPr>
        <w:t xml:space="preserve">STANDARDS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72, Government Code, is amended by adding Section 72.0831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72.0831.</w:t>
      </w:r>
      <w:r>
        <w:rPr>
          <w:u w:val="single"/>
        </w:rPr>
        <w:t xml:space="preserve"> </w:t>
      </w:r>
      <w:r>
        <w:rPr>
          <w:u w:val="single"/>
        </w:rPr>
        <w:t xml:space="preserve"> </w:t>
      </w:r>
      <w:r>
        <w:rPr>
          <w:u w:val="single"/>
        </w:rPr>
        <w:t xml:space="preserve">JUSTICE AND MUNICIPAL COURTS.  (a) </w:t>
      </w:r>
      <w:r>
        <w:rPr>
          <w:u w:val="single"/>
        </w:rPr>
        <w:t xml:space="preserve"> </w:t>
      </w:r>
      <w:r>
        <w:rPr>
          <w:u w:val="single"/>
        </w:rPr>
        <w:t xml:space="preserve">Each justice and municipal court shall annually report to the office for each criminal case filed with the court during the reporting year: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charged;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disposition of the case;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defendant's race or ethnicity, as reported in the citation, affidavit establishing probable cause, or offense report filed with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justice court shall annually report to the office for each residential eviction suit filed with the court during the reporting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disposition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race or ethnicity, as reported to the court by the defendant or, if the defendant does not report the defendant's race or ethnicity, the fact that the defendant prefers not to report the defendant's race or ethnicity.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adopt rules prescribing the form and manner of submission of the reports required by this section and the dates on which those reports are due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report made under this section is confidential and not subject to disclosure under Chapter 552.</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Office of Court Administration of the Texas Judicial System shall adopt rules implementing Section 72.0831,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