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87R1019 CAE-D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Miles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419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jurisdiction of county and justice courts in civil matters.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26.042(a),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county court has concurrent jurisdiction with the justice courts in civil cases in which the matter in controversy exceeds $200 in value but does not exceed </w:t>
      </w:r>
      <w:r>
        <w:rPr>
          <w:u w:val="single"/>
        </w:rPr>
        <w:t xml:space="preserve">$50,000</w:t>
      </w:r>
      <w:r>
        <w:t xml:space="preserve"> [</w:t>
      </w:r>
      <w:r>
        <w:rPr>
          <w:strike/>
        </w:rPr>
        <w:t xml:space="preserve">$20,000</w:t>
      </w:r>
      <w:r>
        <w:t xml:space="preserve">], exclusive of interest.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27.031(a),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In addition to the jurisdiction and powers provided by the constitution and other law, the justice court has original jurisdiction of: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civil matters in which exclusive jurisdiction is not in the district or county court and in which the amount in controversy is not more than </w:t>
      </w:r>
      <w:r>
        <w:rPr>
          <w:u w:val="single"/>
        </w:rPr>
        <w:t xml:space="preserve">$50,000</w:t>
      </w:r>
      <w:r>
        <w:t xml:space="preserve"> [</w:t>
      </w:r>
      <w:r>
        <w:rPr>
          <w:strike/>
        </w:rPr>
        <w:t xml:space="preserve">$20,000</w:t>
      </w:r>
      <w:r>
        <w:t xml:space="preserve">], exclusive of interest;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cases of forcible entry and detainer;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foreclosure of mortgages and enforcement of liens on personal property in cases in which the amount in controversy is otherwise within the justice court's jurisdiction.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only to a cause of action filed on or after the effective date of this Act. A cause of action filed before that date is governed by the law in effect immediately before that date, and that law is continued in effect for that purpose.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419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