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87R5945 YDB-D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state agency enforcement of laws regulating small businesses.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2006, Government Code, is amended by adding Section 2006.003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2006.003.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OPPORTUNITY TO REMEDY VIOLATION; POLICY.  (a)  This section applies only to a state agency with regulatory authority over a small business.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 agency may not impose an administrative penalty or request imposition of a civil penalty against a small business for a first violation of a statute or a rule administered by the agency unless the agency first provides the small business written notice of the violation and an opportunity to remedy the violation within a reasonable time of receipt of the notice.  Notwithstanding any other law, a violation is not considered to be a continuing violation during the reasonable time in which the small business is attempting to remedy the violation.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state agency subject to this section shall adopt a policy consistent with the requirements of Subsection (b).  The policy must provide that the agency will not attempt to recover an administrative penalty or request imposition of a civil penalty during the reasonable time in which the small business is attempting to remedy the violation.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2022, each state agency shall adopt and implement the policy required by Section 2006.003, Government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