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Blanco</w:t>
      </w:r>
      <w:r xml:space="preserve">
        <w:tab wTab="150" tlc="none" cTlc="0"/>
      </w:r>
      <w:r>
        <w:t xml:space="preserve">S.B.</w:t>
      </w:r>
      <w:r xml:space="preserve">
        <w:t> </w:t>
      </w:r>
      <w:r>
        <w:t xml:space="preserve">No.</w:t>
      </w:r>
      <w:r xml:space="preserve">
        <w:t> </w:t>
      </w:r>
      <w:r>
        <w:t xml:space="preserve">424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2021; March</w:t>
      </w:r>
      <w:r xml:space="preserve">
        <w:t> </w:t>
      </w:r>
      <w:r>
        <w:t xml:space="preserve">9,</w:t>
      </w:r>
      <w:r xml:space="preserve">
        <w:t> </w:t>
      </w:r>
      <w:r>
        <w:t xml:space="preserve">2021, read first time and referred to Committee on Business &amp; Commerce;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424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agency enforcement of laws regulating small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2006, Government Code, is amended by adding Section 2006.003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2006.003.</w:t>
      </w:r>
      <w:r>
        <w:rPr>
          <w:u w:val="single"/>
        </w:rPr>
        <w:t xml:space="preserve"> </w:t>
      </w:r>
      <w:r>
        <w:rPr>
          <w:u w:val="single"/>
        </w:rPr>
        <w:t xml:space="preserve"> </w:t>
      </w:r>
      <w:r>
        <w:rPr>
          <w:u w:val="single"/>
        </w:rPr>
        <w:t xml:space="preserve">OPPORTUNITY TO REMEDY VIOLATION; POLICY.  (a)  This section applies only to a state agency with regulatory authority over a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impose an administrative penalty against a small business for a first violation of a statute or a rule administered by the agency, other than a violation committed knowingly or intentionally, unless the agency first provides the small business written notice of the violation and an opportunity to remedy the violation within a reasonable time after receiving the notice.  Notwithstanding any other law, a violation is not considered to be a continuing violation during the reasonable time in which the small business attempts in good faith to remedy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agency subject to this section shall adopt a policy consistent with the requirements of Subsection (b).  The policy must provide that the agency will not attempt to recover an administrative penalty during the reasonable time the small business is attempting in good faith to remedy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action taken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to protect public health and safety or the environment;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listed in Section 411.0765(b)(18) in connection with the regulation of financial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Workforce Commission if the action is required to conform to or comply with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each state agency shall adopt and implement the policy required by Section 2006.003,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