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87R2988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436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of preexisting conditions including COVID-19.</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8, Insurance Code, is amended by adding Chapter 1511 to read as follows:</w:t>
      </w:r>
    </w:p>
    <w:p w:rsidR="003F3435" w:rsidRDefault="0032493E">
      <w:pPr>
        <w:spacing w:line="480" w:lineRule="auto"/>
        <w:ind w:firstLine="1440"/>
        <w:jc w:val="both"/>
      </w:pPr>
      <w:r>
        <w:rPr>
          <w:u w:val="single"/>
        </w:rPr>
        <w:t xml:space="preserve">CHAPTER 1511.  COVERAGE OF PREEXISTING CONDITIONS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1511.001.</w:t>
      </w:r>
      <w:r>
        <w:rPr>
          <w:u w:val="single"/>
        </w:rPr>
        <w:t xml:space="preserve"> </w:t>
      </w:r>
      <w:r>
        <w:rPr>
          <w:u w:val="single"/>
        </w:rPr>
        <w:t xml:space="preserve"> </w:t>
      </w:r>
      <w:r>
        <w:rPr>
          <w:u w:val="single"/>
        </w:rPr>
        <w:t xml:space="preserve">DEFINITION.  In this chapter, "preexisting condition" means a condition, including a diagnosis of coronavirus disease (COVID-19) or a related symptom or condition, present before the effective date of an individual's coverage under a health benefit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1511.002.</w:t>
      </w:r>
      <w:r>
        <w:rPr>
          <w:u w:val="single"/>
        </w:rPr>
        <w:t xml:space="preserve"> </w:t>
      </w:r>
      <w:r>
        <w:rPr>
          <w:u w:val="single"/>
        </w:rPr>
        <w:t xml:space="preserve"> </w:t>
      </w:r>
      <w:r>
        <w:rPr>
          <w:u w:val="single"/>
        </w:rPr>
        <w:t xml:space="preserve">APPLICABILITY OF CHAPTER.  (a)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this chapter applies to a health benefit plan under which coverage is contractually limited to fewer than 12 months in duration.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1511.003.</w:t>
      </w:r>
      <w:r>
        <w:rPr>
          <w:u w:val="single"/>
        </w:rPr>
        <w:t xml:space="preserve"> </w:t>
      </w:r>
      <w:r>
        <w:rPr>
          <w:u w:val="single"/>
        </w:rPr>
        <w:t xml:space="preserve"> </w:t>
      </w:r>
      <w:r>
        <w:rPr>
          <w:u w:val="single"/>
        </w:rPr>
        <w:t xml:space="preserve">EXCEPTIONS.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only for a specified disease or for another limited benefit;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only for accidental death or dismemberment;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dental or vision care;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 insurance coverage provided under a motor vehicle insurance policy;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long-term care insurance policy, including a nursing home fixed indemnity policy, unless the commissioner determines that the policy provides benefit coverage so comprehensive that the policy is a health benefit plan as described by Section 1511.002.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1511.004.</w:t>
      </w:r>
      <w:r>
        <w:rPr>
          <w:u w:val="single"/>
        </w:rPr>
        <w:t xml:space="preserve"> </w:t>
      </w:r>
      <w:r>
        <w:rPr>
          <w:u w:val="single"/>
        </w:rPr>
        <w:t xml:space="preserve"> </w:t>
      </w:r>
      <w:r>
        <w:rPr>
          <w:u w:val="single"/>
        </w:rPr>
        <w:t xml:space="preserve">PREEXISTING CONDITION RESTRICTIONS PROHIBITED.  Notwithstanding any other law, a health benefit plan issuer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coverage to or refuse to enroll an individual in a health benefit plan on the basis of a preexisting condition;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or exclude coverage under the health benefit plan for treatment of the individual's preexisting condition otherwise covered under the plan;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charge the individual more for coverage than the health benefit plan issuer charges an individual who does not have a preexisting condition.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health benefit plan that is delivered, issued for delivery, or renewed on or after January 1, 2022.  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