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87R1674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sale, lease, or rental of goods and services through a post exchange established by the Texas Military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437.110(a), Government Code, as effective September 1,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establish and contract for the operation of not more than three military-type post exchanges similar to those operated by the armed forces of the United States on any real property under the management and control of the department.  A post exchange may sell, lease, or rent </w:t>
      </w:r>
      <w:r>
        <w:rPr>
          <w:u w:val="single"/>
        </w:rPr>
        <w:t xml:space="preserve">all</w:t>
      </w:r>
      <w:r>
        <w:t xml:space="preserve"> goods and services </w:t>
      </w:r>
      <w:r>
        <w:rPr>
          <w:u w:val="single"/>
        </w:rPr>
        <w:t xml:space="preserve">that may be sold by a store operated under the federal exchange system established in accordance with 10 U.S.C. Section 2481(a)</w:t>
      </w:r>
      <w:r>
        <w:t xml:space="preserve">[</w:t>
      </w:r>
      <w:r>
        <w:rPr>
          <w:strike/>
        </w:rPr>
        <w:t xml:space="preserve">, including firearms, tobacco products, prepared foods, and malt beverages and wine but not distilled spirits</w:t>
      </w:r>
      <w:r>
        <w:t xml:space="preserve">].  The department may designate facilities located on state property to use for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