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460</w:t>
      </w:r>
    </w:p>
    <w:p w:rsidR="003F3435" w:rsidRDefault="0032493E">
      <w:pPr>
        <w:ind w:firstLine="720"/>
        <w:jc w:val="both"/>
      </w:pPr>
      <w:r>
        <w:t xml:space="preserve">(Raymond)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the 11th day of each month as Buddy Check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662.083.</w:t>
      </w:r>
      <w:r>
        <w:rPr>
          <w:u w:val="single"/>
        </w:rPr>
        <w:t xml:space="preserve"> </w:t>
      </w:r>
      <w:r>
        <w:rPr>
          <w:u w:val="single"/>
        </w:rPr>
        <w:t xml:space="preserve"> </w:t>
      </w:r>
      <w:r>
        <w:rPr>
          <w:u w:val="single"/>
        </w:rPr>
        <w:t xml:space="preserve">BUDDY CHECK DAY.  (a)  The 11th day of each month is Buddy Check Day to encourage veterans to contact other veterans, including those with whom they served, who may need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Buddy Check Day may be regularly observed by appropriate programs and activities coordinated by the Texas Veterans Commission to promote assistance and other services available to veterans and promote education and awareness of issues facing veterans.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