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87R2268 JES-D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Lucio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462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funding under the transportation allotment for transporting meals and instructional materials to a student's residence.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48.151, Education Code, is amended by amending Subsection (h) and adding Subsection (n)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Funds allotted under this section must be used in providing transportation services.  </w:t>
      </w:r>
      <w:r>
        <w:rPr>
          <w:u w:val="single"/>
        </w:rPr>
        <w:t xml:space="preserve">Transporting a meal or instructional materials as provided by Subsection (n) is included in transportation services under this subsection.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(n)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shall be reimbursed on a per-mile basis for the cost of transporting a meal or instructional materials to a student's residence.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462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