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26,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9,</w:t>
      </w:r>
      <w:r xml:space="preserve">
        <w:t> </w:t>
      </w:r>
      <w:r>
        <w:t xml:space="preserve">2021, read first time and referred to Committee on Education;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462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funding under the transportation allotment for transporting meals and instructional materials to students during a declared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48.151, Education Code, is amended by amending Subsection (h) and adding Subsection (n)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Funds allotted under this section must be used in providing transportation services.  </w:t>
      </w:r>
      <w:r>
        <w:rPr>
          <w:u w:val="single"/>
        </w:rPr>
        <w:t xml:space="preserve">Transporting a meal or instructional materials as provided by Subsection (n) is included in transportation services under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duration of a declared disaster, a school district located in an area that is wholly or partly the subject of a disaster declaration by the governor under Chapter 418, Government Code, or by the president of the United States shall be reimbursed on a per-mile basis for the cost of transporting a meal or instructional materials to a student's residence or to another location, designated by the district, for pick up by the student. </w:t>
      </w:r>
      <w:r>
        <w:rPr>
          <w:u w:val="single"/>
        </w:rPr>
        <w:t xml:space="preserve"> </w:t>
      </w:r>
      <w:r>
        <w:rPr>
          <w:u w:val="single"/>
        </w:rPr>
        <w:t xml:space="preserve">To be reimbursed under this subsection, a school district must submit the district's proposed route to the commissioner for approval before transporting the meal or instructional materials.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462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