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87R3135 BEE-F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465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waiver of certain state park fees for certain disabled veterans.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13.018(a), Parks and Wildlife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following people may apply to the department for a state parklands passport: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resident of this state who is 65 years old or over who has resided in the state for six consecutive months preceding the date of application for a parklands passport, a member of the United States armed forces on active duty who is 65 years old or over, or any other individual in a category that the commission by rule designates as a resident of this state who is 65 years old or over;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veteran of the armed services of the United States who, as a result of military service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</w:t>
      </w:r>
      <w:r>
        <w:t xml:space="preserve">] has a service-connected disability, as defined by the Veterans' Administration</w:t>
      </w:r>
      <w:r>
        <w:rPr>
          <w:u w:val="single"/>
        </w:rPr>
        <w:t xml:space="preserve">;</w:t>
      </w:r>
      <w:r>
        <w:t xml:space="preserve"> [</w:t>
      </w:r>
      <w:r>
        <w:rPr>
          <w:strike/>
        </w:rPr>
        <w:t xml:space="preserve">, consisting of the loss of the use of a lower extremity or of a 60 percent disability rating</w:t>
      </w:r>
      <w:r>
        <w:t xml:space="preserve">]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who</w:t>
      </w:r>
      <w:r>
        <w:t xml:space="preserve">] is receiving compensation from the United States because of the disability;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individual who has a physical or mental impairment that substantially limits one or more of the major life activities of the individual.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465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