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466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speech-language</w:t>
      </w:r>
    </w:p>
    <w:p w:rsidR="003F3435" w:rsidRDefault="0032493E">
      <w:pPr>
        <w:spacing w:line="480" w:lineRule="auto"/>
        <w:jc w:val="both"/>
      </w:pPr>
      <w:r>
        <w:t xml:space="preserve">pathologists and audiologists.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401.201, Occupations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in adopting a rule under this chapter,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 holder, including a licensed intern or licensed assistant, to provide services by use of any interactive audiovisual communication system, whether real-time or two-way, including a smart phone;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supervision requirement for an applicant under this chapter to be fulfilled wholly or partly by use of telecommunications technology;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a license holder 's initial professional contact with a client to be in-person;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 any limitation on a license holder 's selection of a facilitator to assist the license holder in providing services by use of telecommunications technology.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the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