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dyslexia practitioners and therapists.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403.151,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licensed dyslexia practitioner may practice outside of an educational setting to the extent necessary to provide a service that would otherwise be provided in an educational setting that is not reasonably accessible to the licensed dyslexia practitioner or client.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403, Occupations Code, is amended by adding Section 403.153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403.153.</w:t>
      </w:r>
      <w:r>
        <w:rPr>
          <w:u w:val="single"/>
        </w:rPr>
        <w:t xml:space="preserve"> </w:t>
      </w:r>
      <w:r>
        <w:rPr>
          <w:u w:val="single"/>
        </w:rPr>
        <w:t xml:space="preserve"> </w:t>
      </w:r>
      <w:r>
        <w:rPr>
          <w:u w:val="single"/>
        </w:rPr>
        <w:t xml:space="preserve">USE OF TELECOMMUNICATIONS TECHNOLOGY. </w:t>
      </w:r>
      <w:r>
        <w:rPr>
          <w:u w:val="single"/>
        </w:rPr>
        <w:t xml:space="preserve"> </w:t>
      </w:r>
      <w:r>
        <w:rPr>
          <w:u w:val="single"/>
        </w:rPr>
        <w:t xml:space="preserve">Notwithstanding any other law, a license holder may provide any service, including conducting an initial meeting with a client, solely through the use of an interactive audiovisual communication system, whether real-time or two-way, including a smartphone.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the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