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87R5921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individuals and entities that conduct forensic analyses, examinations, and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 38.35(a)(4)(A), (B), (C), or (D) that is exempt from accreditation.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w:t>
      </w:r>
      <w:r>
        <w:rPr>
          <w:u w:val="single"/>
        </w:rPr>
        <w:t xml:space="preserve"> </w:t>
      </w:r>
      <w:r>
        <w:rPr>
          <w:u w:val="single"/>
        </w:rPr>
        <w:t xml:space="preserve"> </w:t>
      </w:r>
      <w:r>
        <w:rPr>
          <w:u w:val="single"/>
        </w:rP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4-a(c) and (d), Article 38.01,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the qualifications for a license that include:</w:t>
      </w:r>
    </w:p>
    <w:p w:rsidR="003F3435" w:rsidRDefault="0032493E">
      <w:pPr>
        <w:spacing w:line="480" w:lineRule="auto"/>
        <w:ind w:firstLine="2160"/>
        <w:jc w:val="both"/>
      </w:pPr>
      <w:r>
        <w:t xml:space="preserve">(A)</w:t>
      </w:r>
      <w:r xml:space="preserve">
        <w:t> </w:t>
      </w:r>
      <w:r xml:space="preserve">
        <w:t> </w:t>
      </w:r>
      <w:r>
        <w:t xml:space="preserve">successful completion of the education requirements established by the commission;</w:t>
      </w:r>
    </w:p>
    <w:p w:rsidR="003F3435" w:rsidRDefault="0032493E">
      <w:pPr>
        <w:spacing w:line="480" w:lineRule="auto"/>
        <w:ind w:firstLine="2160"/>
        <w:jc w:val="both"/>
      </w:pPr>
      <w:r>
        <w:t xml:space="preserve">(B)</w:t>
      </w:r>
      <w:r xml:space="preserve">
        <w:t> </w:t>
      </w:r>
      <w:r xml:space="preserve">
        <w:t> </w:t>
      </w:r>
      <w:r>
        <w:t xml:space="preserve">specific course work and experience, including instruction in courtroom testimony and ethics in a crime laboratory;</w:t>
      </w:r>
    </w:p>
    <w:p w:rsidR="003F3435" w:rsidRDefault="0032493E">
      <w:pPr>
        <w:spacing w:line="480" w:lineRule="auto"/>
        <w:ind w:firstLine="2160"/>
        <w:jc w:val="both"/>
      </w:pPr>
      <w:r>
        <w:t xml:space="preserve">(C)</w:t>
      </w:r>
      <w:r xml:space="preserve">
        <w:t> </w:t>
      </w:r>
      <w:r xml:space="preserve">
        <w:t> </w:t>
      </w:r>
      <w:r>
        <w:t xml:space="preserve">successful completion of an examination required or recognized by the commission;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successful completion of proficiency testing to the extent required for crime laboratory accreditation;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minimum standards for character and fitness, including consideration of an applicant's criminal history and any other information that may indicate whether the person possesses the requisite honesty, trustworthiness, or integrity to be a license holder;</w:t>
      </w:r>
    </w:p>
    <w:p w:rsidR="003F3435" w:rsidRDefault="0032493E">
      <w:pPr>
        <w:spacing w:line="480" w:lineRule="auto"/>
        <w:ind w:firstLine="1440"/>
        <w:jc w:val="both"/>
      </w:pPr>
      <w:r>
        <w:t xml:space="preserve">(2)</w:t>
      </w:r>
      <w:r xml:space="preserve">
        <w:t> </w:t>
      </w:r>
      <w:r xml:space="preserve">
        <w:t> </w:t>
      </w:r>
      <w:r>
        <w:t xml:space="preserve">set fees for the issuance and renewal of a license; and</w:t>
      </w:r>
    </w:p>
    <w:p w:rsidR="003F3435" w:rsidRDefault="0032493E">
      <w:pPr>
        <w:spacing w:line="480" w:lineRule="auto"/>
        <w:ind w:firstLine="1440"/>
        <w:jc w:val="both"/>
      </w:pPr>
      <w:r>
        <w:t xml:space="preserve">(3)</w:t>
      </w:r>
      <w:r xml:space="preserve">
        <w:t> </w:t>
      </w:r>
      <w:r xml:space="preserve">
        <w:t> </w:t>
      </w:r>
      <w:r>
        <w:t xml:space="preserve">establish the term of a forensic analyst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