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curriculum requirements for public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28.025(b-1) and (b-9), Education Code, are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fine arts under Section 28.002(a)(2)(D)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and technology education under Section 28.002(a)(2)(E)</w:t>
      </w:r>
      <w:r>
        <w:t xml:space="preserve">;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(b-9)</w:t>
      </w:r>
      <w:r xml:space="preserve">
        <w:t> </w:t>
      </w:r>
      <w:r xml:space="preserve">
        <w:t> </w:t>
      </w:r>
      <w:r>
        <w:t xml:space="preserve">A school district, with the approval of the commissioner, may allow a student to satisfy the fine arts credit [</w:t>
      </w:r>
      <w:r>
        <w:rPr>
          <w:strike/>
        </w:rPr>
        <w:t xml:space="preserve">required</w:t>
      </w:r>
      <w:r>
        <w:t xml:space="preserve">] under Subsection </w:t>
      </w:r>
      <w:r>
        <w:rPr>
          <w:u w:val="single"/>
        </w:rPr>
        <w:t xml:space="preserve">(b-1)(7)(A)</w:t>
      </w:r>
      <w:r>
        <w:t xml:space="preserve"> [</w:t>
      </w:r>
      <w:r>
        <w:rPr>
          <w:strike/>
        </w:rPr>
        <w:t xml:space="preserve">(b-1)(7)</w:t>
      </w:r>
      <w:r>
        <w:t xml:space="preserve">] by participating in a community-based fine arts program not provided by the school district in which the student is enrolled. The fine arts program must provide instruction in the essential knowledge and skills identified for fine arts by the State Board of Education under Section 28.002(c). The fine arts program may be provided on or off a school campus and outside the regular school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