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474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clean and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It is an exception to the application of Section 821.102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uses a restraint on the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uses a restraint on the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uses a restraint on the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owner uses a restraint on the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owner leaves the dog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owner, or another person with the owner's permission, takes the dog from the owner's residence or property and restrains the dog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owner uses a restraint on the dog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