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87R15834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474</w:t>
      </w:r>
    </w:p>
    <w:p w:rsidR="003F3435" w:rsidRDefault="0032493E">
      <w:pPr>
        <w:ind w:firstLine="720"/>
        <w:jc w:val="both"/>
      </w:pPr>
      <w:r>
        <w:t xml:space="preserve">(Collier)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474:</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C.S.S.B.</w:t>
      </w:r>
      <w:r xml:space="preserve">
        <w:t> </w:t>
      </w:r>
      <w:r>
        <w:t xml:space="preserve">No.</w:t>
      </w:r>
      <w:r xml:space="preserve">
        <w:t> </w:t>
      </w:r>
      <w:r>
        <w:t xml:space="preserve">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allows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does not allow for escape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 and any other substance that could cause harm to the health of a dog that is subjected to prolonged exposure to the substance, including feces or urine;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attached to a properly fitted collar or harness;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dog left unattended in an open-air truck bed only for the time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