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entitlement of certain public school students to transfer to a school district offering in-person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 Education Code, is amended by adding Section 25.045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25.045.</w:t>
      </w:r>
      <w:r>
        <w:rPr>
          <w:u w:val="single"/>
        </w:rPr>
        <w:t xml:space="preserve"> </w:t>
      </w:r>
      <w:r>
        <w:rPr>
          <w:u w:val="single"/>
        </w:rPr>
        <w:t xml:space="preserve"> </w:t>
      </w:r>
      <w:r>
        <w:rPr>
          <w:u w:val="single"/>
        </w:rPr>
        <w:t xml:space="preserve">TRANSFER TO DISTRICT OFFERING IN-PERSON INSTRUCTION.  (a)  In this section, "virtual instruction" means instructional activities delivered to students primarily over the Internet.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enrolled in a school district that offers only virtual instruction for any part of a school year may transfer for that school year to another school district that offers in-person instruction during that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who transfers to another school district under this section may not be charged tuition.  The student is included in the average daily attendance of the district in which the student attends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