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483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27,</w:t>
      </w:r>
      <w:r xml:space="preserve">
        <w:t> </w:t>
      </w:r>
      <w:r>
        <w:t xml:space="preserve">2021; March</w:t>
      </w:r>
      <w:r xml:space="preserve">
        <w:t> </w:t>
      </w:r>
      <w:r>
        <w:t xml:space="preserve">9,</w:t>
      </w:r>
      <w:r xml:space="preserve">
        <w:t> </w:t>
      </w:r>
      <w:r>
        <w:t xml:space="preserve">2021, read first time and referred to Committee on Finance;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14,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483</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biennial report on the investment returns of the Employees Retirement System of Texas and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802, Government Code, is amended by adding Section 802.1085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802.1085.</w:t>
      </w:r>
      <w:r>
        <w:rPr>
          <w:u w:val="single"/>
        </w:rPr>
        <w:t xml:space="preserve"> </w:t>
      </w:r>
      <w:r>
        <w:rPr>
          <w:u w:val="single"/>
        </w:rPr>
        <w:t xml:space="preserve"> </w:t>
      </w:r>
      <w:r>
        <w:rPr>
          <w:u w:val="single"/>
        </w:rPr>
        <w:t xml:space="preserve">BIENNIAL REPORT ON INVESTMENT RETURNS OF CERTAIN PUBLIC RETIREMENT SYSTEMS.  (a)  This section applies only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Employees Retirement System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governing body of a public retirement system shall submit to the governor, the lieutenant governor, and each member of the legislature a report that details and compares the assumed rate of return and the annualized actual time-weighted rate of return achieved by the system for the most recent 1-year, 5-year, 10-year, and 20-year fiscal periods.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period, an estimate of what the market value of the invested assets of the fund would have been as of the most recent fiscal year end had the system achieved the applicable assumed rate of return;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each estimate described by Subdivision (1) and the actual market value of the invested assets in the fund as of the most recent fiscal year end.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required by this section may be combined with any other report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