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487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Subsections (d), (d-1), (d-2), (d-3), and (d-4)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shall consider an open-enrollment charter school a school district for purposes of zoning, project permitting, platting and replatting processes, business licensing, franchises, utility services, signage, subdivision regulation, property development projects, the requirements for posting bonds or securities, contract requirements, land development standards as provided by Section 212.902, Local Government Code, tree and vegetation regulations, regulations of architectural features of a structure, construction of fences, landscaping, garbage disposal, noise levels, fees or other assessments, and construction or site development work. </w:t>
      </w:r>
      <w:r>
        <w:rPr>
          <w:u w:val="single"/>
        </w:rPr>
        <w:t xml:space="preserve"> </w:t>
      </w:r>
      <w:r>
        <w:rPr>
          <w:u w:val="single"/>
        </w:rPr>
        <w:t xml:space="preserve">An open-enrollment charter school does not have the power of eminent domain.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political subdivision may not take any action that prohibits an open-enrollment charter school from operating a public school campus, educational support facility, athletic facility, or administrative office within the political subdivision's jurisdiction or on any specific property located within the jurisdiction of the political subdivision that it could not take against a school district.  A political subdivision shall grant approval in the same manner and follow the same timelines as if the charter school were a school district located in that political subdivision's jurisdiction.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section applies to both owned and leased property of the open-enrollment charter school under Section 12.128.</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Except as provided by this section, this section does not affect the authority granted by state law to a political subdivision to regulate an open-enrollment charter school regarding health and safety ordinances.</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this section, "political subdivision"</w:t>
      </w:r>
      <w:r>
        <w:rPr>
          <w:u w:val="single"/>
        </w:rPr>
        <w:t xml:space="preserve"> </w:t>
      </w:r>
      <w:r>
        <w:rPr>
          <w:u w:val="single"/>
        </w:rPr>
        <w:t xml:space="preserve">does not include a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  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w:t>
      </w:r>
      <w:r>
        <w:rPr>
          <w:u w:val="single"/>
        </w:rPr>
        <w:t xml:space="preserve">, 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C,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552.053(b),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12.103(c),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exemption granted to a school district under Section 552.053(b)(4), Local Government Code, as that subdivision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