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87R5792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w:t>
      </w:r>
    </w:p>
    <w:p w:rsidR="003F3435" w:rsidRDefault="0032493E">
      <w:pPr>
        <w:spacing w:line="480" w:lineRule="auto"/>
        <w:ind w:firstLine="1440"/>
        <w:jc w:val="both"/>
      </w:pPr>
      <w:r>
        <w:t xml:space="preserve">(1)</w:t>
      </w:r>
      <w:r xml:space="preserve">
        <w:t> </w:t>
      </w:r>
      <w:r xml:space="preserve">
        <w:t> </w:t>
      </w:r>
      <w:r>
        <w:rPr>
          <w:u w:val="single"/>
        </w:rPr>
        <w:t xml:space="preserve">a</w:t>
      </w:r>
      <w:r>
        <w:t xml:space="preserve"> [</w:t>
      </w:r>
      <w:r>
        <w:rPr>
          <w:strike/>
        </w:rPr>
        <w:t xml:space="preserve">the applicable</w:t>
      </w:r>
      <w:r>
        <w:t xml:space="preserve">] statute specifically states that the statute applies to an open-enrollment charter school; or</w:t>
      </w:r>
    </w:p>
    <w:p w:rsidR="003F3435" w:rsidRDefault="0032493E">
      <w:pPr>
        <w:spacing w:line="480" w:lineRule="auto"/>
        <w:ind w:firstLine="1440"/>
        <w:jc w:val="both"/>
      </w:pPr>
      <w:r>
        <w:t xml:space="preserve">(2)</w:t>
      </w:r>
      <w:r xml:space="preserve">
        <w:t> </w:t>
      </w:r>
      <w:r xml:space="preserve">
        <w:t> </w:t>
      </w:r>
      <w:r>
        <w:t xml:space="preserve">a provision in this chapter states that a specific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municipality shall consider an open-enrollment charter school a school district for purposes of zoning, permitting, code compliance, and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  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w:t>
      </w:r>
      <w:r>
        <w:t xml:space="preserve">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Local Government Code, is amended by adding Section 250.013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250.013.</w:t>
      </w:r>
      <w:r>
        <w:rPr>
          <w:u w:val="single"/>
        </w:rPr>
        <w:t xml:space="preserve"> </w:t>
      </w:r>
      <w:r>
        <w:rPr>
          <w:u w:val="single"/>
        </w:rPr>
        <w:t xml:space="preserve"> </w:t>
      </w:r>
      <w:r>
        <w:rPr>
          <w:u w:val="single"/>
        </w:rPr>
        <w:t xml:space="preserve">REGULATION OF OPEN-ENROLLMENT CHARTER SCHOOLS.  (a)  In this section,  "open-enrollment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political subdivision may not enact or enforce an ordinance, order, regulation, resolution, rule, or policy that prohibits an open-enrollment charter school from operating at any location or within any zoning district in the municipality, county, or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otherwise affect the authority granted by state law to a municipality, county, or political subdivision to regulate an open-enrollment charter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w:t>
      </w:r>
      <w:r>
        <w:t xml:space="preserve"> </w:t>
      </w:r>
      <w:r>
        <w:t xml:space="preserve">The contract may contain terms the board of trustees </w:t>
      </w:r>
      <w:r>
        <w:rPr>
          <w:u w:val="single"/>
        </w:rPr>
        <w:t xml:space="preserve">or governing body</w:t>
      </w:r>
      <w:r>
        <w:t xml:space="preserve"> considers advisable to provide for the payment of the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w:t>
      </w:r>
      <w:r>
        <w:t xml:space="preserve">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 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