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87R2647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499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Penal Code, is amended by adding Chapter 40 to read as follows:</w:t>
      </w:r>
    </w:p>
    <w:p w:rsidR="003F3435" w:rsidRDefault="0032493E">
      <w:pPr>
        <w:spacing w:line="480" w:lineRule="auto"/>
        <w:jc w:val="center"/>
      </w:pPr>
      <w:r>
        <w:rPr>
          <w:u w:val="single"/>
        </w:rPr>
        <w:t xml:space="preserve">CHAPTER 40. </w:t>
      </w:r>
      <w:r>
        <w:rPr>
          <w:u w:val="single"/>
        </w:rPr>
        <w:t xml:space="preserve"> </w:t>
      </w:r>
      <w:r>
        <w:rPr>
          <w:u w:val="single"/>
        </w:rPr>
        <w:t xml:space="preserve">THE TEXAS FIREARM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40.02.</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a rule, order, ordinance, or policy under which the entity enforces, or by consistent action allows the enforcement of, a federal statute, order, rule, or regulation enacted on or after September 1, 2021, that purports to regulate a firearm, a firearm accessory, or firearm ammunition if the statute, order, rule, or regulation imposes a prohibition, restriction, or other regulation, such as a capacity or size limitation, a registration requirement, or a background check,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entity described by Subsection (a) and no person employed by or otherwise under the direction or control of the entity may enforce or attempt to enforce any federal statute, order, rule, or regulation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(a) may not receive state grant funds if the entity adopts a rule, order, ordinance, or policy under which the entity enforces any federal law described by Subsection (b) or, by consistent actions, allows the enforcement of any federal law described by Subsection (b). </w:t>
      </w:r>
      <w:r>
        <w:rPr>
          <w:u w:val="single"/>
        </w:rPr>
        <w:t xml:space="preserve"> </w:t>
      </w:r>
      <w:r>
        <w:rPr>
          <w:u w:val="single"/>
        </w:rPr>
        <w:t xml:space="preserve">State grant funds for the entity shall be denied for the fiscal year following the year in which a final judicial determination in an action brought under this section is made that the entity has violated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(a) may file a complaint with the attorney general if the citizen offers evidence to support an allegation that the entity has adopted a rule, order, ordinance, or policy under which the entity enforces a federal law described by Subsection (b) or an allegation that the entity, by consistent actions, allows the enforcement of a federal law described by Subsection (b).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(a) is valid, to compel the entity's compliance with this section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