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87R3405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502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registration of certain establishments providing assisted living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Subtitle B, Title 4, Health and Safety Code, is amended to read as follows:</w:t>
      </w:r>
    </w:p>
    <w:p w:rsidR="003F3435" w:rsidRDefault="0032493E">
      <w:pPr>
        <w:spacing w:line="480" w:lineRule="auto"/>
        <w:jc w:val="center"/>
      </w:pPr>
      <w:r>
        <w:t xml:space="preserve">SUBTITLE B.  LICENSING </w:t>
      </w:r>
      <w:r>
        <w:rPr>
          <w:u w:val="single"/>
        </w:rPr>
        <w:t xml:space="preserve">AND REGULATION</w:t>
      </w:r>
      <w:r>
        <w:t xml:space="preserve"> OF HEALTH FACILITIES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Chapter 247, Health and Safety Code, is amended to read as follows:</w:t>
      </w:r>
    </w:p>
    <w:p w:rsidR="003F3435" w:rsidRDefault="0032493E">
      <w:pPr>
        <w:spacing w:line="480" w:lineRule="auto"/>
        <w:jc w:val="center"/>
      </w:pPr>
      <w:r>
        <w:t xml:space="preserve">CHAPTER 247.  ASSISTED LIVING FACILITIES </w:t>
      </w:r>
      <w:r>
        <w:rPr>
          <w:u w:val="single"/>
        </w:rPr>
        <w:t xml:space="preserve">AND SIMILAR ASSISTED LIVING SERVICE ESTABLISHMENTS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247, Health and Safety Code, is amended by adding Section 247.072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247.072.</w:t>
      </w:r>
      <w:r>
        <w:rPr>
          <w:u w:val="single"/>
        </w:rPr>
        <w:t xml:space="preserve"> </w:t>
      </w:r>
      <w:r>
        <w:rPr>
          <w:u w:val="single"/>
        </w:rPr>
        <w:t xml:space="preserve"> </w:t>
      </w:r>
      <w:r>
        <w:rPr>
          <w:u w:val="single"/>
        </w:rPr>
        <w:t xml:space="preserve">REGISTRATION OF ASSISTED LIVING SERVICE ESTABLISHMENTS.  (a) </w:t>
      </w:r>
      <w:r>
        <w:rPr>
          <w:u w:val="single"/>
        </w:rPr>
        <w:t xml:space="preserve"> </w:t>
      </w:r>
      <w:r>
        <w:rPr>
          <w:u w:val="single"/>
        </w:rPr>
        <w:t xml:space="preserve">In this section, "assisted living service establishment"</w:t>
      </w:r>
      <w:r>
        <w:rPr>
          <w:u w:val="single"/>
        </w:rPr>
        <w:t xml:space="preserve"> </w:t>
      </w:r>
      <w:r>
        <w:rPr>
          <w:u w:val="single"/>
        </w:rPr>
        <w:t xml:space="preserve">means an establishment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furnishes, in one or more facilities, food and shelter to three or fewer persons who are unrelated to the proprietor of the establishment;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personal care services;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administration of medication by a person licensed or otherwise authorized in this state to administer the medication;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provide assistance with or supervision of the administration of medication;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provide skilled nursing services for the following limited purposes: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coordination of resident care with outside home and community support services agencies and other health care professionals;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provision or delegation of personal care services and medication administration as described by Subdivision (2);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assessment of residents to determine the care required;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 periods of time as established by commission rule, delivery of temporary skilled nursing treatment for a minor illness, injury, or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establish or operate an assisted living service establishment unless the person registers the establishment with the commission and complies with commission rules related to the establishment.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necessary to protect the public health and safety and to implement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violates this section and rules adopted under this section is subject to the enforcement provisions of Subchapter 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1, 2021, the executive commissioner of the Health and Human Services Commission shall adopt any rules necessary to implement Section 247.072, Health and Safety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Notwithstanding Section 247.072, Health and Safety Code, as added by this Act, a person is not required to register an establishment to which that section applies until January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